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3D8" w14:textId="77777777" w:rsidR="00E01A2A" w:rsidRPr="00A90AB8" w:rsidRDefault="007C7FD0" w:rsidP="008D2CF4">
      <w:pPr>
        <w:pBdr>
          <w:top w:val="nil"/>
          <w:left w:val="nil"/>
          <w:bottom w:val="nil"/>
          <w:right w:val="nil"/>
          <w:between w:val="nil"/>
        </w:pBdr>
        <w:spacing w:before="240"/>
        <w:rPr>
          <w:b/>
          <w:color w:val="000000"/>
        </w:rPr>
      </w:pPr>
      <w:bookmarkStart w:id="0" w:name="_heading=h.111kx3o" w:colFirst="0" w:colLast="0"/>
      <w:bookmarkEnd w:id="0"/>
      <w:r w:rsidRPr="00A90AB8">
        <w:rPr>
          <w:b/>
          <w:color w:val="000000"/>
        </w:rPr>
        <w:t xml:space="preserve">Tiêu chuẩn 6: Người học </w:t>
      </w:r>
    </w:p>
    <w:p w14:paraId="000003D9" w14:textId="77777777" w:rsidR="00E01A2A" w:rsidRPr="00A90AB8" w:rsidRDefault="007C7FD0" w:rsidP="008D2CF4">
      <w:pPr>
        <w:pStyle w:val="Heading2"/>
      </w:pPr>
      <w:r w:rsidRPr="00A90AB8">
        <w:t>Mở đầu</w:t>
      </w:r>
    </w:p>
    <w:p w14:paraId="000003DA" w14:textId="77777777" w:rsidR="00E01A2A" w:rsidRPr="00A90AB8" w:rsidRDefault="007C7FD0">
      <w:r w:rsidRPr="00A90AB8">
        <w:t>Trường luôn quan tâm sâu sát, kịp thời tới người học, giúp người học yên tâm học tập, rèn luyện như: thông báo, hướng dẫn đầy đủ về chương trình đào tạo; thực hiện đầy đủ các chế độ chính sách; tạo cơ hội và môi trường lành mạnh để người học tu dưỡng, rèn luyện tư tưởng, chính trị, đạo đức, lối sống; kiểm tra đánh giá năng lực của người học tốt nghiệp theo mục tiêu đào tạo... Người học được Trường hướng dẫn đầy đủ về chương trình đào tạo, kiểm tra đánh giá và các quy định trong quy chế đào tạo của Bộ Giáo dục và Đào tạo; được đảm bảo các chế độ chính sách xã hội và được chăm sóc sức khỏe định kỳ, được tạo điều kiện hoạt động, tập luyện văn nghệ, thể dục thể thao, được đảm bảo an toàn trong khuôn viên Trường, được tư vấn việc làm và các hình thức hỗ trợ khác.</w:t>
      </w:r>
    </w:p>
    <w:p w14:paraId="000003DB" w14:textId="77777777" w:rsidR="00E01A2A" w:rsidRPr="00A90AB8" w:rsidRDefault="007C7FD0" w:rsidP="008D2CF4">
      <w:pPr>
        <w:pBdr>
          <w:top w:val="nil"/>
          <w:left w:val="nil"/>
          <w:bottom w:val="nil"/>
          <w:right w:val="nil"/>
          <w:between w:val="nil"/>
        </w:pBdr>
        <w:spacing w:before="240"/>
        <w:rPr>
          <w:b/>
          <w:i/>
          <w:color w:val="000000"/>
        </w:rPr>
      </w:pPr>
      <w:r w:rsidRPr="00A90AB8">
        <w:rPr>
          <w:b/>
          <w:i/>
          <w:color w:val="000000"/>
        </w:rPr>
        <w:t>Tiêu chí 6.1. Người học được hướng dẫn đầy đủ về chương trình đào tạo, kiểm tra đánh giá và các quy định trong quy chế đào tạo của Bộ Giáo dục và Đào tạo.</w:t>
      </w:r>
    </w:p>
    <w:p w14:paraId="000003DC" w14:textId="77777777" w:rsidR="00E01A2A" w:rsidRPr="00A90AB8" w:rsidRDefault="007C7FD0" w:rsidP="008D2CF4">
      <w:pPr>
        <w:pStyle w:val="Heading2"/>
      </w:pPr>
      <w:r w:rsidRPr="00A90AB8">
        <w:t>1. Mô tả</w:t>
      </w:r>
    </w:p>
    <w:p w14:paraId="000003DD" w14:textId="77777777" w:rsidR="00E01A2A" w:rsidRPr="00A90AB8" w:rsidRDefault="007C7FD0">
      <w:r w:rsidRPr="00A90AB8">
        <w:t xml:space="preserve">Trường đã phổ biến các quy chế, quy định về đào tạo; kế hoạch đào tạo; chương trình đào tạo; đăng ký chuyên ngành đào tạo; thực tập, thực hành; cách sử dụng phần mềm quản lý đào tạo, tra cứu lịch thi, điểm thi/kiểm tra; điều kiện thi kết thúc học phần, học lại, thi lại, tạm ngừng học, thôi học; điều kiện thi tốt nghiệp và cấp bằng tốt nghiệp; chuẩn đầu ra ngay trong chương trình “Tuần sinh hoạt công dân - sinh viên” đầu khoá học. Nhằm trang bị những kiến thức cần thiết ban đầu cho người học khi mới nhập học, định hướng ngành nghề đào tạo tại Trường [H6.6.1.1]. Trường tổ chức chương trình “Tuần sinh hoạt công dân -  sinh viên” đầu khoá học, giữa khóa học, cuối khoá học cho toàn thể người học để triển khai quy chế đào tạo, giới thiệu ngành nghề, nội dung chương trình học tập, yêu cầu đối với ý thức, thái độ học tập [H6.6.1.2]. Trường đã tổ chức các buổi họp tư vấn, giới thiệu về các chương trình chuyên ngành thuộc ngành giáo dục mầm non, tổ chức các hoạt động ngoại khoá như Hội thi nghiệp vụ chuyên ngành; Chương trình Thắp lửa lòng yêu nghề giúp người học hiểu rõ hơn về các chuyên ngành đào tạo Trường [H6.6.1.3]. Bên cạnh đó, trong Tuần lễ công dân - sinh viên đầu khóa, Khoa Giáo dục Mầm non đã gặp mặt người học đầu khóa, cung cấp thông tin về mục tiêu, chương trình đào tạo; các yêu cầu kiểm tra đánh giá từng học phần, học kỳ, khoá </w:t>
      </w:r>
      <w:r w:rsidRPr="00A90AB8">
        <w:lastRenderedPageBreak/>
        <w:t>học. [H6.6.1.4].</w:t>
      </w:r>
    </w:p>
    <w:p w14:paraId="000003DE" w14:textId="77777777" w:rsidR="00E01A2A" w:rsidRPr="00A90AB8" w:rsidRDefault="007C7FD0">
      <w:r w:rsidRPr="00A90AB8">
        <w:t>Trường đã ban hành Sổ tay sinh viên, trong đó văn bản quy chế đào tạo để phổ biến, hướng dẫn, tư vấn, hỗ trợ cho người học thực hiện nghiêm túc việc học tập, thi, kiểm tra trong suốt 3 năm học tập tại Trường [H6.6.1.5]. Số lượng người học vi phạm quy chế thi, kiểm tra đã giảm đáng kể theo từng năm. Trường đã thực hiện đồng bộ một số biện pháp như kỷ luật người học và trừ điểm rèn luyện theo đúng quy định; chỉ đạo đội ngũ cố vấn học tập, cán bộ coi thi thực hiện tốt nhiệm vụ được giao, bám sát với hoạt động của lớp; tăng cường theo dõi, đôn đốc, nhắc nhở, động viên người học tự giác, tích cực, chủ động hơn trong việc học tập, rèn luyện [H6.6.1.6].</w:t>
      </w:r>
    </w:p>
    <w:p w14:paraId="000003EF" w14:textId="00FB353C" w:rsidR="00E01A2A" w:rsidRPr="00A90AB8" w:rsidRDefault="00280867">
      <w:pPr>
        <w:spacing w:before="120"/>
      </w:pPr>
      <w:r>
        <w:t>z</w:t>
      </w:r>
      <w:r w:rsidR="007C7FD0" w:rsidRPr="00A90AB8">
        <w:t>Trường công khai đầy đủ các thông tin về chương trình đào tạo, kiểm tra đánh giá và các quy định trong quy chế đào tạo trên Hệ thống phần mềm quản lý đào tạo; và công khai trên trang thông tin điện tử của Trường [H6.6.1.7]. Trường tổ chức khảo sát ý kiến người học về công tác đào tạo và phục vụ đào tạo; Hội nghị đối thoại trực tiếp giữa lãnh đạo Trường với toàn thể người học. Thông qua diễn đàn này, Trường nắm bắt được tâm tư, nguyện vọng; kịp thời giải đáp những băn khoăn, thắc mắc hoặc những đề xuất chính đáng của người học về chương trình đào tạo, kiểm tra đánh giá; việc cấp phát bằng; học liên thông; về đội ngũ giảng viên, cố vấn học tập; cơ sở vật chất, hoạt động phong trào và giải quyết kịp thời các thông tin từ người liên quan đến chương trình đào tạo [H6.6.1.8].</w:t>
      </w:r>
    </w:p>
    <w:p w14:paraId="000003F0" w14:textId="77777777" w:rsidR="00E01A2A" w:rsidRPr="00A90AB8" w:rsidRDefault="007C7FD0">
      <w:pPr>
        <w:pStyle w:val="Heading2"/>
      </w:pPr>
      <w:r w:rsidRPr="00A90AB8">
        <w:t>2. Điểm mạnh</w:t>
      </w:r>
    </w:p>
    <w:p w14:paraId="000003F1" w14:textId="77777777" w:rsidR="00E01A2A" w:rsidRPr="00A90AB8" w:rsidRDefault="007C7FD0">
      <w:r w:rsidRPr="00A90AB8">
        <w:t>Trường đã cung cấp đầy đủ, kịp thời các văn bản về mục tiêu, chương trình đào tạo, quy chế đào tạo, những thông báo của Trường bằng những kênh thông tin khác nhau, giúp người học yên tâm nghiên cứu, học tập và rèn luyện. Các hoạt động của các đơn vị chức năng giúp người học hiểu rõ về mục tiêu đào tạo, chương trình đào tạo và các yêu cầu kiểm tra đánh giá, thực hiện tốt quy chế đào tạo, rèn luyện và những vấn đề liên quan đến người học.</w:t>
      </w:r>
    </w:p>
    <w:p w14:paraId="000003F2" w14:textId="77777777" w:rsidR="00E01A2A" w:rsidRPr="00A90AB8" w:rsidRDefault="007C7FD0">
      <w:pPr>
        <w:pStyle w:val="Heading2"/>
      </w:pPr>
      <w:r w:rsidRPr="00A90AB8">
        <w:t>3. Tồn tại</w:t>
      </w:r>
    </w:p>
    <w:p w14:paraId="000003F3" w14:textId="77777777" w:rsidR="00E01A2A" w:rsidRPr="00A90AB8" w:rsidRDefault="007C7FD0">
      <w:r w:rsidRPr="00A90AB8">
        <w:t>Việc phối hợp và triển khai nhiệm vụ theo các quy định về hỗ trợ người học chưa kịp thời.</w:t>
      </w:r>
    </w:p>
    <w:p w14:paraId="000003F4" w14:textId="77777777" w:rsidR="00E01A2A" w:rsidRPr="00A90AB8" w:rsidRDefault="007C7FD0">
      <w:pPr>
        <w:pStyle w:val="Heading2"/>
      </w:pPr>
      <w:r w:rsidRPr="00A90AB8">
        <w:t>4. Kế hoạch hành động</w:t>
      </w:r>
    </w:p>
    <w:p w14:paraId="000003F5" w14:textId="77777777" w:rsidR="00E01A2A" w:rsidRPr="00A90AB8" w:rsidRDefault="007C7FD0">
      <w:r w:rsidRPr="00A90AB8">
        <w:t xml:space="preserve">Trường rà soát và bổ sung thêm các nhiệm vụ của các đơn vị trong việc phối hợp </w:t>
      </w:r>
      <w:r w:rsidRPr="00A90AB8">
        <w:lastRenderedPageBreak/>
        <w:t>và hỗ trợ người học.</w:t>
      </w:r>
    </w:p>
    <w:p w14:paraId="000003F6" w14:textId="77777777" w:rsidR="00E01A2A" w:rsidRPr="00A90AB8" w:rsidRDefault="007C7FD0">
      <w:r w:rsidRPr="00A90AB8">
        <w:rPr>
          <w:b/>
        </w:rPr>
        <w:t>5. Tự đánh giá:</w:t>
      </w:r>
      <w:r w:rsidRPr="00A90AB8">
        <w:t xml:space="preserve"> Đạt yêu cầu tiêu chí.</w:t>
      </w:r>
    </w:p>
    <w:p w14:paraId="000003F7" w14:textId="77777777" w:rsidR="00E01A2A" w:rsidRPr="00A90AB8" w:rsidRDefault="007C7FD0" w:rsidP="00280867">
      <w:pPr>
        <w:pBdr>
          <w:top w:val="nil"/>
          <w:left w:val="nil"/>
          <w:bottom w:val="nil"/>
          <w:right w:val="nil"/>
          <w:between w:val="nil"/>
        </w:pBdr>
        <w:spacing w:before="240"/>
        <w:rPr>
          <w:b/>
          <w:i/>
          <w:color w:val="000000"/>
        </w:rPr>
      </w:pPr>
      <w:r w:rsidRPr="00A90AB8">
        <w:rPr>
          <w:b/>
          <w:i/>
          <w:color w:val="000000"/>
        </w:rPr>
        <w:t xml:space="preserve">Tiêu chí 6.2. Người học được đảm bảo các chế độ chính sách xã hội và được chăm sóc sức </w:t>
      </w:r>
      <w:r w:rsidRPr="00A90AB8">
        <w:rPr>
          <w:b/>
          <w:i/>
        </w:rPr>
        <w:t>khỏe</w:t>
      </w:r>
      <w:r w:rsidRPr="00A90AB8">
        <w:rPr>
          <w:b/>
          <w:i/>
          <w:color w:val="000000"/>
        </w:rPr>
        <w:t xml:space="preserve"> định kỳ, được tạo điều kiện hoạt động, tập luyện văn nghệ, thể dục thể thao, được đảm bảo an toàn trong khuôn viên Trường; được tư vấn việc làm và các hình thức hỗ trợ khác.</w:t>
      </w:r>
    </w:p>
    <w:p w14:paraId="000003F8" w14:textId="77777777" w:rsidR="00E01A2A" w:rsidRPr="00A90AB8" w:rsidRDefault="007C7FD0" w:rsidP="00280867">
      <w:pPr>
        <w:pStyle w:val="Heading2"/>
      </w:pPr>
      <w:r w:rsidRPr="00A90AB8">
        <w:t>1. Mô tả</w:t>
      </w:r>
    </w:p>
    <w:p w14:paraId="000003F9" w14:textId="77777777" w:rsidR="00E01A2A" w:rsidRPr="00A90AB8" w:rsidRDefault="007C7FD0" w:rsidP="00280867">
      <w:r w:rsidRPr="00A90AB8">
        <w:t>Trường thường xuyên rà soát và cập nhật các văn bản mới liên quan đến chế độ chính sách của người học để thực hiện đảm bảo đúng, đủ và kịp thời. Trong chương trình “Tuần sinh hoạt công dân - sinh viên” đầu khoá học, giữa khóa học, cuối khoá học, người học được phổ biến đầy đủ về: các quyết định, quy định về học bổng và trợ cấp xã hội, các chính sách về ưu đãi giáo dục, miễn giảm học phí... Đồng thời, hướng dẫn rõ quy trình, thủ tục làm hồ sơ xin hưởng các chế độ chính sách đảm bảo đúng đối tượng [H6.6.2.1], [H6.6.2.2].</w:t>
      </w:r>
    </w:p>
    <w:p w14:paraId="000003FA" w14:textId="77777777" w:rsidR="00E01A2A" w:rsidRPr="00A90AB8" w:rsidRDefault="007C7FD0">
      <w:r w:rsidRPr="00A90AB8">
        <w:t xml:space="preserve">Công tác tuyên truyền và thực hiện theo Nghị định 116/2020/NĐ-CP ngày 25/9/2020 của Chính phủ ban hành Nghị định quy định về chính sách hỗ trợ tiền đóng học phí, chi phí sinh hoạt đối với người học sư phạm được thực hiện sâu, rộng trong người học các khóa [H6.6.2.3]. Trường đã tổ chức gặp gỡ người học theo lớp, theo khóa để tuyên truyền, quán triệt, hướng dẫn, giải đáp tất cả những băn khoăn, thắc mắc của người học giúp người học hiểu đúng và thực hiện đúng từ việc nộp đơn đề nghị hưởng và cam kết bồi hoàn học phí, chi phí sinh hoạt đến hiểu trách nhiệm trong việc hoàn thành chương trình học và phục vụ ngành sau khi tốt nghiệp; việc lưu trữ hồ sơ chế độ chính sách của người học rất khoa học, bài bản [H6.6.2.4]. Bên cạnh tuyên truyền, phổ biến trong người học, Trường đã tổ chức tập huấn, hướng dẫn đội ngũ làm công tác người học, cố vấn học tập, lãnh đạo các đơn vị nắm chắc, nắm vững các chế độ chính sách để hỗ trợ người học [H6.6.2.5]. Công tác phối hợp với chính quyền địa phương trong tiếp nhận thông tin, nhu cầu và quản lý người học hưởng Nghị định 116 được thực hiện thường xuyên [H6.6.2.6].   </w:t>
      </w:r>
    </w:p>
    <w:p w14:paraId="000003FB" w14:textId="77777777" w:rsidR="00E01A2A" w:rsidRPr="00A90AB8" w:rsidRDefault="007C7FD0">
      <w:r w:rsidRPr="00A90AB8">
        <w:t>Các chế độ chính sách liên quan đến người học được thông báo công khai trực tiếp trên bảng tin của Trường, trang thông tin điện tử của Trường và các nền tảng mạng xã hội có người học tham gia [H6.6.2.7].</w:t>
      </w:r>
    </w:p>
    <w:p w14:paraId="000003FC" w14:textId="77777777" w:rsidR="00E01A2A" w:rsidRPr="00A90AB8" w:rsidRDefault="007C7FD0">
      <w:r w:rsidRPr="00A90AB8">
        <w:lastRenderedPageBreak/>
        <w:t>Trường thực hiện nghiêm túc các chế độ học bổng khuyến khích học tập; trợ cấp xã hội, các chính sách về ưu đãi giáo dục, miễn giảm học phí đối với người học… Mỗi học kỳ, Trường căn cứ vào kết quả học tập và rèn luyện của người học để xét học bổng khuyến khích học tập và cấp trợ cấp xã hội, chính sách cho người học đúng đối tượng và đúng quy định. Việc chi trả được Hội đồng thi đua khen thưởng – kỷ luật người học xét duyệt đúng quy trình, công khai, minh bạch được thông báo công khai, rộng rãi trên bảng tin và trang thông tin điện tử của Trường [H6.6.2.8]. Ngoài ra, Trường tăng cường tìm kiếm các nguồn học bổng tài trợ đến từ cá nhân, tổ chức, mạnh thường quân để hỗ trợ người học khó khăn, học giỏi như: học bổng “Tiếp sức đến trường”; học bổng Đinh Thiện Lý và các nguồn học bổng đến từ Trung tâm hỗ trợ Sinh viên Thành phố Hồ Chí Minh [H6.6.2.9].</w:t>
      </w:r>
    </w:p>
    <w:p w14:paraId="000003FD" w14:textId="77777777" w:rsidR="00E01A2A" w:rsidRPr="00A90AB8" w:rsidRDefault="007C7FD0">
      <w:r w:rsidRPr="00A90AB8">
        <w:t xml:space="preserve">  Trường thành lập bộ phận y tế gồm có 02 phòng tại 2 cơ sở, nhân viên ý tế tại 2 cơ sở nhiệt tình, trách nhiệm, tâm huyết với công việc; Phòng Y tế sạch sẽ với các giường bệnh, có tủ thuốc và những thiết bị y tế cần thiết để phục vụ cho việc chăm sóc sức khỏe ban đầu cho người học [H6.6.2.10]. Trường phối hợp với với cơ sở y tế khám chữa bệnh uy tín để tổ chức khám sức khỏe đầu vào đối với người học theo đúng quy định [H6.6.2.11]. Kết quả khám sức khỏe đối với người học được thực hiện nghiêm túc, bài bản; có sổ sách theo dõi từng người học [H6.6.2.12]. Việc chăm sóc sức khỏe hằng ngày, cấp phát thuốc cho người học cũng được theo dõi, ghi chép cẩn thận [H6.6.2.13]. Công tác tuyên truyền Luật Bảo hiểm y tế phổ biến cho người học về quyền, trách nhiệm, lợi ích tham gia bảo hiểm y tế; chế độ sinh hoạt, học tập điều độ, ăn uống đảm bảo dinh dưỡng, vệ sinh, an toàn; không lạm dụng chất kích thích, chất gây nghiện; trang bị cho người học kiến thức, kỹ năng chăm sóc sức khỏe, phòng chống dịch, bệnh, tai nạn thương tích và các kiến thức, kỹ năng khác về bảo vệ sức khỏe được tổ chức trong “Tuần sinh hoạt công dân -  sinh viên” đầu khoá học [H6.6.2.14]. Tỉ lệ người học tham gia bảo hiểm y tế bắt buộc theo luật bảo hiểm hàng năm đạt khoảng 98% [H6.6.2.15]. Khi đại dịch Covid-19 diễn ra, trong suốt 3 năm qua, Trường đã rất nỗ lực làm việc; tuyên truyền, quán triệt người học thực hiện nghiêm túc các quy định về phòng, chống dịch bệnh; thực hiện các quy trình khi có tình huống xảy ra một cách nhanh chóng và đảm bảo nguyên tắc an toàn giúp người học yên tâm [H6.6.2.16]. Bên cạnh đó, công tác đồng hành cùng người học trong thời gian dịch bệnh được thực hiện kịp thời và hiệu quả [H6.6.2.17].</w:t>
      </w:r>
    </w:p>
    <w:p w14:paraId="000003FE" w14:textId="77777777" w:rsidR="00E01A2A" w:rsidRPr="00A90AB8" w:rsidRDefault="007C7FD0">
      <w:r w:rsidRPr="00A90AB8">
        <w:t xml:space="preserve">Phong trào văn hóa, văn nghệ được tổ chức đa dạng và phong phú không những </w:t>
      </w:r>
      <w:r w:rsidRPr="00A90AB8">
        <w:lastRenderedPageBreak/>
        <w:t>nâng cao về đời sống tinh thần mà giúp người học trao dồi chuyên môn, nghiệp vụ và kỹ năng nghề nghiệp: Chương trình chào tân sinh viên; khai giảng năm học mới; Lễ kỷ niệm ngày Nhà giáo Việt Nam 20/11; các hoạt động văn nghệ chào mừng ngày thành lập Hội sinh viên Việt Nam 09/01; ngày thành lập Đoàn 26/3; các hoạt động giao lưu với các đơn vị kết nghĩa,...thu hút được nhiều người học tham gia với tinh thần và khí thế rất sôi nổi [H6.6.2.18]. Trường tổ chức Hội thi nghiệp vụ chuyên ngành là sân chơi lớn để người học các khóa các khoa trong toàn Trường được thể hiện những kiến thức đã học và những năng khiếu sở trường của cá nhân và tập thể. Người học tham gia nhiệt tình, sôi nổi và cuộc thi đã để lại nhiều ấn tượng và cảm xúc tốt đẹp cho người học [H6.6.2.19].</w:t>
      </w:r>
    </w:p>
    <w:p w14:paraId="000003FF" w14:textId="77777777" w:rsidR="00E01A2A" w:rsidRPr="00A90AB8" w:rsidRDefault="007C7FD0">
      <w:r w:rsidRPr="00A90AB8">
        <w:t>Phong trào thể dục thể thao có sân chơi cầu lông, thể dục nhịp điệu, Aerobic… để người học tham gia tập luyện, rèn luyện sức khỏe, sự tự tin và kỹ năng mềm.... Phần lớn đối tượng người học của Trường là nữ nên sân chơi thể thao chưa phải là thế mạnh mà chỉ dừng lại ở câu lạc bộ, đội nhóm nhỏ được thành lập theo sở thích [H6.6.2.20]. Phần lớn đối tượng người học của Trường là nữ (chiếm 97% - 99%) nên rất có lợi thế về các phong trào, đặc biệt là hoạt động văn hóa, văn nghệ như múa, đàn và hát. Vì vậy, Trường luôn tận dụng mọi cơ hội để tổ chức những sân chơi lành mạnh, giúp người học được thể hiện khả năng của bản thân, phát huy năng khiếu, sở trường, đồng thời rèn luyện sự tự tin và kỹ năng mềm [H6.6.2.21].</w:t>
      </w:r>
    </w:p>
    <w:p w14:paraId="00000400" w14:textId="77777777" w:rsidR="00E01A2A" w:rsidRPr="00A90AB8" w:rsidRDefault="007C7FD0">
      <w:r w:rsidRPr="00A90AB8">
        <w:t>Trường luôn nắm bắt tình hình người học ngoại trú và nội trú. Triển khai kịp thời văn bản mới về công tác ngoại trú trong người học; xây dựng khu kí túc xá an toàn, lành mạnh, xóa bỏ tiêu cực, tệ nạn trong ký túc xá. Trường thực hiện nghiêm túc việc đăng ký tạm trú, tạm vắng cho người học ở ký túc xá để đảm bảo công tác quản lý công dân cư trú, tạm trú theo đúng quy định. Trường thường xuyên kiểm tra, rà soát các bình cứu hỏa ở các tòa nhà để đảm bảo công tác phòng cháy chữa cháy trong những trường hợp cần thiết [H6.6.2.22]. Thường xuyên quan tâm và nắm bắt thông tin của người học ở ngoại trú để kịp thời giải quyết các tình huống, hỗ trợ kịp thời khi người học cần [H6.6.2.23].</w:t>
      </w:r>
    </w:p>
    <w:p w14:paraId="00000401" w14:textId="77777777" w:rsidR="00E01A2A" w:rsidRPr="00A90AB8" w:rsidRDefault="007C7FD0">
      <w:r w:rsidRPr="00A90AB8">
        <w:t xml:space="preserve">Trường không thành lập trung tâm tư vấn, hỗ trợ việc làm cho người học tuy nhiên công tác đồng hành và hỗ trợ luôn nhận được sự quan tâm của Trường, các phòng ban, khoa, Đoàn Thanh niên, cố vấn học tập và viên chức của Trường.  Đoàn Thanh niên xây dựng kế hoạch và tổ chức chương trình Ngày hội việc làm thu hút được các </w:t>
      </w:r>
      <w:r w:rsidRPr="00A90AB8">
        <w:lastRenderedPageBreak/>
        <w:t>đơn vị tham gia và thu hút được người học năm cuối tham gia tuyển dụng [H6.6.2.24]. Bên cạnh đó, viên chức Trường luôn tiếp nhận thông tin tuyển dụng của các cơ sở giáo dục để kịp thời thông tin đến người học thông qua fanpage Việc làm giáo viên mầm non và các nền tảng mạng xã hội có người học tham gia tương tác [H6.6.2.25]. Thông qua chương trình “Tuần sinh hoạt công dân -  sinh viên” cuối khoá học, người học được trang bị một số kiến thức về khởi nghiệp, kỹ năng xin việc và làm việc hiệu quả, tổ chức cho người học gặp gỡ các đơn vị tuyển dụng, tiếp cận thông tin về nguồn nhân lực… để người học vận dụng ngay sau khi tốt nghiệp [H6.6.2.26]. Phần lớn người học sau khi tốt nghiệp ra trường có trên 92% người học đều tìm được việc làm tốt, ổn định có mức lương cao [H6.6.2.27].</w:t>
      </w:r>
    </w:p>
    <w:p w14:paraId="00000402" w14:textId="77777777" w:rsidR="00E01A2A" w:rsidRPr="00A90AB8" w:rsidRDefault="007C7FD0">
      <w:pPr>
        <w:pStyle w:val="Heading2"/>
      </w:pPr>
      <w:r w:rsidRPr="00A90AB8">
        <w:t>2. Điểm mạnh</w:t>
      </w:r>
    </w:p>
    <w:p w14:paraId="00000403" w14:textId="77777777" w:rsidR="00E01A2A" w:rsidRPr="00A90AB8" w:rsidRDefault="007C7FD0">
      <w:r w:rsidRPr="00A90AB8">
        <w:t>Trường đã thực hiện tốt, đúng, đủ, kịp thời các chế độ chính sách cho người học; đảm bảo an toàn, an ninh trật tự trường học; tạo nhiều sân chơi cho người học được tham gia các hoạt động phong trào văn hóa văn nghệ và tổ chức giới thiệu việc làm cho người học hiệu quả.</w:t>
      </w:r>
    </w:p>
    <w:p w14:paraId="00000404" w14:textId="77777777" w:rsidR="00E01A2A" w:rsidRPr="00A90AB8" w:rsidRDefault="007C7FD0">
      <w:pPr>
        <w:pStyle w:val="Heading2"/>
      </w:pPr>
      <w:r w:rsidRPr="00A90AB8">
        <w:t>3. Tồn tại</w:t>
      </w:r>
    </w:p>
    <w:p w14:paraId="00000405" w14:textId="77777777" w:rsidR="00E01A2A" w:rsidRPr="00A90AB8" w:rsidRDefault="007C7FD0">
      <w:r w:rsidRPr="00A90AB8">
        <w:t>Hoạt động thể dục thể thao chưa phong phú và đa dạng, chưa thu hút được người học tham gia.</w:t>
      </w:r>
    </w:p>
    <w:p w14:paraId="00000406" w14:textId="77777777" w:rsidR="00E01A2A" w:rsidRPr="00A90AB8" w:rsidRDefault="007C7FD0">
      <w:pPr>
        <w:pStyle w:val="Heading2"/>
      </w:pPr>
      <w:r w:rsidRPr="00A90AB8">
        <w:t>4. Kế hoạch hành động</w:t>
      </w:r>
    </w:p>
    <w:p w14:paraId="00000407" w14:textId="77777777" w:rsidR="00E01A2A" w:rsidRPr="00A90AB8" w:rsidRDefault="007C7FD0">
      <w:r w:rsidRPr="00A90AB8">
        <w:t xml:space="preserve">Trường xây dựng các mô hình hoạt động thể dục thể thao phù hợp với đặc thù của người học hầu hết là nữ. </w:t>
      </w:r>
    </w:p>
    <w:p w14:paraId="00000408" w14:textId="77777777" w:rsidR="00E01A2A" w:rsidRPr="00A90AB8" w:rsidRDefault="007C7FD0">
      <w:r w:rsidRPr="00A90AB8">
        <w:rPr>
          <w:b/>
        </w:rPr>
        <w:t>5. Tự đánh giá:</w:t>
      </w:r>
      <w:r w:rsidRPr="00A90AB8">
        <w:t xml:space="preserve"> Đạt yêu cầu tiêu chí</w:t>
      </w:r>
    </w:p>
    <w:p w14:paraId="00000409" w14:textId="77777777" w:rsidR="00E01A2A" w:rsidRPr="00A90AB8" w:rsidRDefault="007C7FD0" w:rsidP="00280867">
      <w:pPr>
        <w:pBdr>
          <w:top w:val="nil"/>
          <w:left w:val="nil"/>
          <w:bottom w:val="nil"/>
          <w:right w:val="nil"/>
          <w:between w:val="nil"/>
        </w:pBdr>
        <w:spacing w:before="240"/>
        <w:rPr>
          <w:b/>
          <w:i/>
          <w:color w:val="000000"/>
        </w:rPr>
      </w:pPr>
      <w:r w:rsidRPr="00A90AB8">
        <w:rPr>
          <w:b/>
          <w:i/>
          <w:color w:val="000000"/>
        </w:rPr>
        <w:t xml:space="preserve">Tiêu chí 6.3. Người học được phổ biến, giáo dục về chủ trương, đường lối, chính sách của Đảng, </w:t>
      </w:r>
      <w:r w:rsidRPr="00A90AB8">
        <w:rPr>
          <w:b/>
          <w:i/>
        </w:rPr>
        <w:t>p</w:t>
      </w:r>
      <w:r w:rsidRPr="00A90AB8">
        <w:rPr>
          <w:b/>
          <w:i/>
          <w:color w:val="000000"/>
        </w:rPr>
        <w:t>háp luật của Nhà nước; được tạo điều kiện để tu dưỡng và rèn luyện chính trị tư tưởng, đạo đức, lối sống, tinh thần trách nhiệm và thái độ hợp tác; được tạo điều kiện để tham gia công tác Đảng, đoàn thể.</w:t>
      </w:r>
    </w:p>
    <w:p w14:paraId="0000040A" w14:textId="77777777" w:rsidR="00E01A2A" w:rsidRPr="00A90AB8" w:rsidRDefault="007C7FD0" w:rsidP="00280867">
      <w:pPr>
        <w:pStyle w:val="Heading2"/>
      </w:pPr>
      <w:r w:rsidRPr="00A90AB8">
        <w:t>1. Mô tả</w:t>
      </w:r>
    </w:p>
    <w:p w14:paraId="0000040B" w14:textId="77777777" w:rsidR="00E01A2A" w:rsidRPr="00A90AB8" w:rsidRDefault="007C7FD0">
      <w:r w:rsidRPr="00A90AB8">
        <w:t xml:space="preserve">Công tác giáo dục về chủ trương, đường lối, chính sách của Đảng, pháp luật của Nhà nước được Trường thực hiện xuyên suốt trong năm học với đa dạng hình thức. Hàng năm, Trường nghiêm túc duy trì tổ chức “Tuần sinh hoạt công dân - sinh viên” đầu khóa, giữa khóa và cuối khóa với 2/4 mảng nội dung chính là công tác giáo dục </w:t>
      </w:r>
      <w:r w:rsidRPr="00A90AB8">
        <w:lastRenderedPageBreak/>
        <w:t>chính trị tư tưởng và công tác phổ biến, giáo dục pháp luật. Người học được nghe báo cáo, tuyên truyền, phổ biến, giáo dục về chủ trương, đường lối, chính sách của Đảng và pháp luật của Nhà nước; tình hình thời sự, kinh tế, chính trị, xã hội trong nước và quốc tế; pháp luật về an toàn giao thông và văn hóa khi tham gia giao thông; pháp luật về phòng chống ma túy, tội phạm, mại dâm, HIV-AIDS; phổ biến, tuyên truyền, giáo dục nhằm nâng cao nhận thức về quyền con người, quyền công dân, quyền và lợi ích của người học. Theo đó, người học cũng được nghe phổ biến, giáo dục về Luật Giáo dục, Luật An ninh mạng, các văn bản luật/ quy phạm pháp luật khác liên quan đến giáo dục – đào tạo. Trường tăng cường công tác giáo dục, tuyên truyền cho Người học thông qua hoạt động của tổ chức Đoàn Thanh niên Cộng sản Hồ Chí Minh, tổ chức Hội Sinh viên Việt Nam trường như sinh hoạt câu lạc bộ lý luận trẻ trong sinh viên; tổ chức các đợt sinh hoạt chính trị chủ điểm trong năm; định kỳ tuyên truyền, giáo dục về pháp luật theo từng quý; tổ chức các cuộc thi tìm hiểu về chủ trương, đường lối, chính sách của Đảng, pháp luật của Nhà nước; tổ chức các hoạt động hưởng ứng cao điểm Ngày pháp luật Việt Nam [H6.6.3.1]</w:t>
      </w:r>
    </w:p>
    <w:p w14:paraId="0000040C" w14:textId="77777777" w:rsidR="00E01A2A" w:rsidRPr="00A90AB8" w:rsidRDefault="007C7FD0">
      <w:r w:rsidRPr="00A90AB8">
        <w:t>Người học được tạo điều kiện để tu dưỡng và rèn luyện chính trị tư tưởng, đạo đức, lối sống, tinh thần trách nhiệm và thái độ hợp tác. Tất cả người học đều được học tập lý luận chính trị dành cho đoàn viên thanh niên; nghe báo cáo chuyên đề, phát động đăng ký và đánh giá kết quả học tập và làm theo tư tưởng, đạo đức, phong cách Hồ Chí Minh gắn theo chủ đề từng năm. Trường tạo điều kiện cho các đoàn viên, đoàn viên ưu tú được rèn luyện và tu dưỡng về chính trị tư tưởng thông qua sinh hoạt câu lạc bộ lý luận trẻ, sinh hoạt các nhóm trung kiên. Trường thường xuyên mời báo cáo viên chia sẻ về các chuyên đề bồi dưỡng kỹ năng thực hành xã hội cho người học, các kỹ năng giao tiếp và ứng xử trong môi trường sư phạm, các kỹ năng hỗ trợ người học trong phối hợp, làm việc nhóm, ứng xử trong trường học và xã hội [H6.6.3.2]. Trường đã ban hành Quy định thực hiện nếp sống văn hóa học đường, Bộ Quy tắc ứng xử của người học trong trường Cao đẳng Sư phạm Trung ương Thành phố Hồ Chí Minh để giúp người học có hành vi ứng xử đúng đắn, văn minh, lịch sự, tôn trọng mọi người và tôn trọng bản thân góp phần giáo dục phẩm chất chính trị, đạo đức và lối sống lành mạnh [H6.6.3.3].</w:t>
      </w:r>
    </w:p>
    <w:p w14:paraId="0000040D" w14:textId="77777777" w:rsidR="00E01A2A" w:rsidRPr="00A90AB8" w:rsidRDefault="007C7FD0">
      <w:r w:rsidRPr="00A90AB8">
        <w:t xml:space="preserve">Phòng Công tác chính trị - Học sinh, sinh viên, Đoàn Thanh niên, Hội Sinh viên trường duy trì tổ chức các hoạt động phong trào, các sự kiện nhân dịp các ngày lễ lớn trong năm và thu hút được sự tham gia của rất đông người học như: Lễ khai giảng, ngày </w:t>
      </w:r>
      <w:r w:rsidRPr="00A90AB8">
        <w:lastRenderedPageBreak/>
        <w:t>hội chào đón Tân sinh viên, ngày Nhà giáo Việt Nam 20/11, ngày truyền thống học sinh, sinh viên 9/1, ngày ngày thành lập Đảng Cộng sản Việt Nam 03/02; ngày thành lập Đoàn Thanh niên Cộng sản Hồ Chí Minh 26/3... [H6.6.3.4]. Phòng Công tác chính trị - Học sinh, sinh viên phối hợp với Đoàn Thanh niên trường phát động phong trào học tập và làm theo tư tưởng, đạo đức, phong cách Hồ Chí Minh trong người học. Các chuyên đề về học tập, làm theo tư tưởng, đạo đức, phong cách Hồ Chí Minh theo chủ đề từng năm được phổ biến, giáo dục trong Tuần lễ công dân sinh viên, đồng thời tổ chức phát động đăng ký chương trình hành động cụ thể từ đầu năm học trong người học. Đoàn Thanh niên, Hội Sinh viên trường tổ chức nhiều hoạt động ngoại khóa, các buổi sinh hoạt chủ điểm tìm hiểu về tấm gương Hồ Chí Minh; tổ chức các cuộc thi trực tuyến tìm hiểu về Đảng Cộng sản Việt Nam, pháp luật của Nhà nước; báo cáo các chuyên đề tuyên truyền về chủ quyền biển đảo Việt Nam; phát triển trào lưu xây dựng hình mẫu sinh viên sư phạm, phát động phong trào sinh viên 5 tốt, thanh niên tiên tiến làm theo lời Bác... tạo điều kiện và môi trường để người học rèn luyện tư tưởng, đạo đức, lối sống [H6.6.3.5].</w:t>
      </w:r>
    </w:p>
    <w:p w14:paraId="0000040E" w14:textId="77777777" w:rsidR="00E01A2A" w:rsidRPr="00A90AB8" w:rsidRDefault="007C7FD0">
      <w:r w:rsidRPr="00A90AB8">
        <w:t>Trong mỗi năm học, các hoạt động tình nguyện, nhân đạo và các hoạt động ngoại khóa khác được Đoàn Thanh niên, Hội Sinh viên chú trọng, tổ chức thường xuyên, mang lại ý nghĩa sâu sắc và thu hút đông đảo đoàn viên, sinh viên Trường tham gia, cống hiến. Các hoạt động được tổ chức đa dạng nội dung, hình thức, hướng đến các nhóm đối tượng khác nhau nhằm tạo điều kiện cho người học được cống hiến, góp phần thể hiện trách nhiệm của mình đối với Trường và xã hội. Bên cạnh đó, các hoạt động tình nguyện thường xuyên trong Trường cũng được tổ chức xuyên suốt năm học nhằm giúp người học thực hành, trải nghiệm và tu dưỡng tinh thần biết yêu lao động, trân quý lao động, có trách nhiệm giữ gìn vệ sinh nơi ở và nơi công cộng, xây dựng trường học xanh, sạch, đẹp. Trường tổ chức họp toàn thể người học các khóa, làm công tác tư tưởng, chia sẻ, trao đổi, động viên, khuyến khích người học tự lao động, quét dọn vệ sinh sân ký túc xá, sân trường; quét dọn, lau chùi các khu vực cửa sổ phòng học, khu tự học, tay nắm hành lang; phát quang cây cối và vệ sinh các khu vực trong khuôn viên trường và xung quanh trường [H6.6.3.6].</w:t>
      </w:r>
    </w:p>
    <w:p w14:paraId="0000040F" w14:textId="77777777" w:rsidR="00E01A2A" w:rsidRPr="00A90AB8" w:rsidRDefault="007C7FD0">
      <w:r w:rsidRPr="00A90AB8">
        <w:t xml:space="preserve">Trường có đội ngũ cố vấn học tập họp lớp định kỳ 2 lần/kỳ và các buổi họp đột xuất, tùy theo tình hình thực tế; nhân cơ hội này, cố vấn học tập nắm bắt tâm tư, tình cảm, tư tưởng; bồi dưỡng, vun đắp lý tưởng; chia sẻ, động viên, giúp đỡ người học để bản thân người học luôn cảm thấy sự quan tâm, thân thiện, gần gũi, yêu thương; để ngày </w:t>
      </w:r>
      <w:r w:rsidRPr="00A90AB8">
        <w:lastRenderedPageBreak/>
        <w:t>càng có động lực cố gắng phấn đấu, tu dưỡng và hoàn thiện bản thân ngày càng tốt hơn [H6.6.3.7]. Người học được phổ biến rất cụ thể về quy chế đánh giá rèn luyện người học hàng năm, là điều kiện cơ bản, cần thiết để thực hiện các chế độ thi đua, khen thưởng, kỷ luật trong người học. Trường ban hành Quy chế công tác sinh viên, hướng dẫn quy chế đánh giá kết quả rèn luyện người học, đây là các căn cứ để người học, cán bộ quản lý người học thực hiện công tác đánh giá kết quả rèn luyện người học nghiêm túc, công bằng, khách quan [H6.6.3.8].</w:t>
      </w:r>
    </w:p>
    <w:p w14:paraId="00000410" w14:textId="77777777" w:rsidR="00E01A2A" w:rsidRPr="00A90AB8" w:rsidRDefault="007C7FD0">
      <w:r w:rsidRPr="00A90AB8">
        <w:t>Ngay khi nhập học vào Trường, tổ chức Đoàn Thanh niên Cộng sản Hồ Chí Minh Trường đã bố trí lực lượng thực hiện các công tác đoàn vụ cho người học mới như tiếp nhận đoàn viên chuyển sinh hoạt đến Trường, hướng dẫn thủ tục nộp hồ sơ đoàn viên và chuyển sinh hoạt trên ứng dụng quản lý đoàn viên tại Trường. Trong tuần sinh hoạt công dân - sinh viên, Đoàn Thanh niên, Hội Sinh viên cũng dành thời gian để giới thiệu về tổ chức Đoàn, Hội và các câu lạc bộ, đội nhóm trực thuộc Đoàn – Hội Trường; chia sẻ các hoạt động Đoàn, Hội trong Trường và phương pháp hoạt động Đoàn – Hội hiệu quả trong môi trường cao đẳng, đại học. Qua đó, người học có thể lựa chọn những hoạt động phù hợp với năng lực, sở trường của bản thân để tham gia, rèn luyện và phát triển bản thân [H6.6.3.9]. Trong suốt quá trình học tập tại trường, đoàn viên, hội viên luôn được tạo điều kiện rèn luyện, thể hiện bản lĩnh cá nhân, được theo dõi, giúp đỡ trong quá trình rèn luyện và phát triển. Đoàn Thanh niên, Hội Sinh viên trường có sự đánh giá, xem xét và giới thiệu các đoàn viên ưu tú, hội viên ưu tú cho Đảng xem xét bồi dưỡng, phát triển Đảng. Sau thời gian học cảm tình đảng và có giấy chứng nhận, người học tiếp tục được Đoàn Thanh niên theo dõi, giúp đỡ, tạo điều kiện để phấn đấu được kết nạp vào Đảng. Trường giao chi bộ 5 tổ chức kết nạp đảng cho đoàn viên ưu tú, quần chúng ưu tú là người học. Các buổi Lễ kết nạp Đảng được tổ chức trang trọng và đúng quy định Điều lệ Đảng [H6.6.3.10].</w:t>
      </w:r>
    </w:p>
    <w:p w14:paraId="00000411" w14:textId="77777777" w:rsidR="00E01A2A" w:rsidRPr="00A90AB8" w:rsidRDefault="007C7FD0">
      <w:pPr>
        <w:pStyle w:val="Heading2"/>
      </w:pPr>
      <w:r w:rsidRPr="00A90AB8">
        <w:t>2. Điểm mạnh</w:t>
      </w:r>
    </w:p>
    <w:p w14:paraId="00000412" w14:textId="77777777" w:rsidR="00E01A2A" w:rsidRPr="00A90AB8" w:rsidRDefault="007C7FD0">
      <w:r w:rsidRPr="00A90AB8">
        <w:t>Trường tổ chức và thực hiện nghiêm túc việc phổ biến, giáo dục cho người học về chủ trương, đường lối, chính sách của Đảng, pháp luật của Nhà nước; tổ chức nhiều hoạt động phong trào thiết thực để người học có cơ hội tu dưỡng, rèn luyện tư tưởng, chính trị, đạo đức lối sống và được giúp đỡ, tạo điều kiện phấn đấu vào Đảng Cộng sản Việt Nam.</w:t>
      </w:r>
    </w:p>
    <w:p w14:paraId="00000413" w14:textId="77777777" w:rsidR="00E01A2A" w:rsidRPr="00A90AB8" w:rsidRDefault="007C7FD0">
      <w:pPr>
        <w:pStyle w:val="Heading2"/>
      </w:pPr>
      <w:r w:rsidRPr="00A90AB8">
        <w:lastRenderedPageBreak/>
        <w:t>3. Tồn tại</w:t>
      </w:r>
    </w:p>
    <w:p w14:paraId="00000414" w14:textId="77777777" w:rsidR="00E01A2A" w:rsidRPr="00A90AB8" w:rsidRDefault="007C7FD0">
      <w:r w:rsidRPr="00A90AB8">
        <w:t>Một số hoạt động giáo dục pháp luật chưa có sự mới mẻ về hình thức, chưa thu hút và tạo được sự chuyển biến mạnh mẽ về nhận thức trong người học.</w:t>
      </w:r>
    </w:p>
    <w:p w14:paraId="00000415" w14:textId="77777777" w:rsidR="00E01A2A" w:rsidRPr="00A90AB8" w:rsidRDefault="007C7FD0">
      <w:pPr>
        <w:pStyle w:val="Heading2"/>
      </w:pPr>
      <w:r w:rsidRPr="00A90AB8">
        <w:t>4. Kế hoạch hành động</w:t>
      </w:r>
    </w:p>
    <w:p w14:paraId="00000416" w14:textId="77777777" w:rsidR="00E01A2A" w:rsidRPr="00A90AB8" w:rsidRDefault="007C7FD0">
      <w:r w:rsidRPr="00A90AB8">
        <w:t>Từ năm 2025, Phòng Công tác chính trị - Học sinh, sinh viên, Đoàn Thanh niên, Hội Sinh viên trường nghiên cứu, xây dựng kế hoạch tổ chức các hoạt động thiết thực, ý nghĩa đa dạng về nội dung và hình thức, gắn nhiệm vụ chính trị và nhiệm vụ chuyên môn của người học.</w:t>
      </w:r>
    </w:p>
    <w:p w14:paraId="00000417" w14:textId="77777777" w:rsidR="00E01A2A" w:rsidRPr="00A90AB8" w:rsidRDefault="007C7FD0">
      <w:r w:rsidRPr="00A90AB8">
        <w:rPr>
          <w:b/>
        </w:rPr>
        <w:t>5. Tự đánh giá:</w:t>
      </w:r>
      <w:r w:rsidRPr="00A90AB8">
        <w:t xml:space="preserve"> Đạt yêu cầu tiêu chí</w:t>
      </w:r>
    </w:p>
    <w:p w14:paraId="00000418" w14:textId="77777777" w:rsidR="00E01A2A" w:rsidRPr="00A90AB8" w:rsidRDefault="007C7FD0" w:rsidP="00280867">
      <w:pPr>
        <w:pBdr>
          <w:top w:val="nil"/>
          <w:left w:val="nil"/>
          <w:bottom w:val="nil"/>
          <w:right w:val="nil"/>
          <w:between w:val="nil"/>
        </w:pBdr>
        <w:spacing w:before="240"/>
        <w:rPr>
          <w:b/>
          <w:i/>
          <w:color w:val="000000"/>
        </w:rPr>
      </w:pPr>
      <w:r w:rsidRPr="00A90AB8">
        <w:rPr>
          <w:b/>
          <w:i/>
          <w:color w:val="000000"/>
        </w:rPr>
        <w:t>Tiêu chí 6.4. Thực hiện đánh giá năng lực của người tốt nghiệp theo mục tiêu đào tạo; có kết quả điều tra về mức độ người tốt nghiệp đáp ứng nhu cầu sử dụng nhân lực của địa phương và của ngành.</w:t>
      </w:r>
    </w:p>
    <w:p w14:paraId="00000419" w14:textId="77777777" w:rsidR="00E01A2A" w:rsidRPr="00A90AB8" w:rsidRDefault="007C7FD0" w:rsidP="00280867">
      <w:pPr>
        <w:pStyle w:val="Heading2"/>
      </w:pPr>
      <w:r w:rsidRPr="00A90AB8">
        <w:t xml:space="preserve">1. Mô tả </w:t>
      </w:r>
    </w:p>
    <w:p w14:paraId="0000041A" w14:textId="77777777" w:rsidR="00E01A2A" w:rsidRPr="00A90AB8" w:rsidRDefault="007C7FD0">
      <w:r w:rsidRPr="00A90AB8">
        <w:t>Trường xác định phương châm giáo dục người học, đó là: “Chất lượng đào tạo – Chìa khóa thành công” [H6.6.4.1]. Quá trình dạy và học được tổ chức và giám sát chặt chẽ. Đặc biệt, công tác kiểm tra, đánh giá năng lực, kết quả học tập của người học được quy định rất rõ ràng, cụ thể trong Quy chế đào tạo của Trường và quy định về chuẩn đầu ra [H6.6.4.2]. Sau mỗi đợt thi cuối học kỳ, Trường thống kê kết quả học tập, tỉ lệ điểm, lấy ý kiến phản hồi của người học về hoạt động giảng dạy của giảng viên; có sự kiểm tra, đối sánh về chất lượng học tập của người học cũng như chất lượng hoạt động giảng dạy để kịp thời điều chỉnh bộ đề thi – đáp án phục vụ cho kỳ thi kết thúc học phần, điều chỉnh về hoạt động giảng dạy của giảng viên để đảm bảo chất lượng [H6.6.4.3].</w:t>
      </w:r>
    </w:p>
    <w:p w14:paraId="0000041B" w14:textId="77777777" w:rsidR="00E01A2A" w:rsidRPr="00A90AB8" w:rsidRDefault="007C7FD0">
      <w:r w:rsidRPr="00A90AB8">
        <w:t xml:space="preserve">Trong đề cương chi tiết học phần, có nêu rõ hình thức, thời gian và trọng số của từng loại điểm cho từng lần kiểm tra, đánh giá để kiểm tra, đánh giá năng lực, kết quả học tập của người học [H6.6.4.4]. Phương thức kiểm tra, đánh giá người học trong một học kỳ, bao gồm: điểm đánh giá (điểm quá trình) và điểm thi kết thúc học phần. Trong đó, đối với hệ thống đào tạo tín chỉ được quy định điểm chuyên cần chiếm trọng số là 10% trong tổng số điểm; điểm kiểm tra thường xuyên 10%; điểm định kỳ chiếm 20% và điểm thi kết thúc học phần 60% tổng điểm học phần [H6.6.4.5]. Việc đánh giá người học đã đa dạng hơn về mặt hình thức và nội dung: đánh giá điểm chuyên cần, kiểm tra thường xuyên từ 1-2 bài, kiểm tra định kỳ từ 1-2 bài và 1 bài thi. Các hình thức kiểm tra </w:t>
      </w:r>
      <w:r w:rsidRPr="00A90AB8">
        <w:lastRenderedPageBreak/>
        <w:t>đánh giá đa dạng được hiển thị trong các đề cương môn học và tùy theo đề xuất của giảng viên gắn với đặc thù từng học phần, phù hợp với yêu cầu của chuẩn đầu ra [H6.6.4.6].</w:t>
      </w:r>
    </w:p>
    <w:p w14:paraId="0000041C" w14:textId="77777777" w:rsidR="00E01A2A" w:rsidRPr="00A90AB8" w:rsidRDefault="007C7FD0">
      <w:r w:rsidRPr="00A90AB8">
        <w:t xml:space="preserve">Trường ban hành Quy định lấy ý kiến phản hồi về hoạt động đào tạo và phục vụ đào tạo nhằm thường xuyên rà soát, đánh giá quá trình đào tạo, năng lực của người học trước khi tốt nghiệp [H6.6.4.7]. Căn cứ vào quy định này, các đơn vị thực hiện khảo sát các bên liên quan, kết quả khảo sát là cơ sở quan trọng để rà soát và đánh giá quá trình dạy và học, phương pháp dạy và học để cải tiến chất lượng, đảm bảo sự tương thích và phù hợp với chuẩn đầu ra [H6.6.4.8]. Trường thực hiện báo cáo tổng kết công tác đào tạo của năm học nhằm chỉ rõ những thuận lợi, khó khăn, kết quả đạt được, tồn tại và hạn chế; nguyên nhân của tồn tại hạn chế và đề ra mục tiêu, nhiệm vụ và giải pháp để nâng cao chất lượng đào tạo cho năm học tiếp theo [H6.6.4.9]. </w:t>
      </w:r>
    </w:p>
    <w:p w14:paraId="0000041D" w14:textId="77777777" w:rsidR="00E01A2A" w:rsidRPr="00A90AB8" w:rsidRDefault="007C7FD0">
      <w:r w:rsidRPr="00A90AB8">
        <w:t>Việc khảo sát thông tin người học có việc làm sau tốt nghiệp được tiến hành định kỳ hằng năm. Qua kết quả khảo nhận thấy, tỉ lệ người học tốt nghiệp ra trường có việc làm rất cao, thu nhập bình quân phù hợp với bối cảnh chung của toàn xã hội. Kết quả khảo sát người học có việc làm sau tốt nghiệp được công khai trên trang thông tin điện tử của Trường và trên cổng thông tin điện tử của Bộ Giáo dục và Đào tạo [H6.6.4.10]. Trong giai đoạn đánh giá, Trường đã tiến hành khảo sát ý kiến phản hồi về SV tốt nghiệp của Trường từ các đơn vị sử dụng lao động, nhằm đánh giá về mức độ người tốt nghiệp đáp ứng nhu cầu sử dụng nhân lực của đơn vị, địa phương [H6.6.4.11]. Bên cạnh đó, Trường đã khảo sát ý kiến của các cơ sở thực hành thực tập để nhằm giúp Trường nắm bắt được khả năng đáp ứng yêu cầu công việc của người học thực tập và người học đã tốt nghiệp, từ đó có căn cứ để điều chỉnh chuẩn đầu ra và chương trình đào tạo theo hướng phù hợp với nhu cầu xã hội [H6.6.4.12].</w:t>
      </w:r>
    </w:p>
    <w:p w14:paraId="0000041E" w14:textId="77777777" w:rsidR="00E01A2A" w:rsidRPr="00A90AB8" w:rsidRDefault="007C7FD0">
      <w:pPr>
        <w:pStyle w:val="Heading2"/>
      </w:pPr>
      <w:r w:rsidRPr="00A90AB8">
        <w:t>2. Điểm mạnh</w:t>
      </w:r>
    </w:p>
    <w:p w14:paraId="0000041F" w14:textId="77777777" w:rsidR="00E01A2A" w:rsidRPr="00A90AB8" w:rsidRDefault="007C7FD0">
      <w:r w:rsidRPr="00A90AB8">
        <w:t>Tổ chức hoạt động giáo dục, đào tạo, đánh giá năng lực người học tốt nghiệp bám sát mục tiêu đào tạo; chương trình đào tạo, kế hoạch đào tạo cụ thể, rõ ràng; tỉ lệ người học tốt nghiệp có việc làm cao; các cơ sở thực hành thực tập và các đơn vị tuyển dụng cơ bản hài lòng và đánh giá tốt về chất lượng đào tạo người học của Trường.</w:t>
      </w:r>
    </w:p>
    <w:p w14:paraId="00000420" w14:textId="77777777" w:rsidR="00E01A2A" w:rsidRPr="00A90AB8" w:rsidRDefault="007C7FD0">
      <w:pPr>
        <w:pStyle w:val="Heading2"/>
      </w:pPr>
      <w:r w:rsidRPr="00A90AB8">
        <w:t>3. Tồn tại</w:t>
      </w:r>
    </w:p>
    <w:p w14:paraId="00000421" w14:textId="77777777" w:rsidR="00E01A2A" w:rsidRPr="00A90AB8" w:rsidRDefault="007C7FD0">
      <w:r w:rsidRPr="00A90AB8">
        <w:t>Số lượng nhà tuyển dụng được lấy ý kiến phản hồi về nhu cầu sử dụng nguồn nhân lực của địa phương và của ngành chưa được thường xuyên, liên tục.</w:t>
      </w:r>
    </w:p>
    <w:p w14:paraId="00000422" w14:textId="77777777" w:rsidR="00E01A2A" w:rsidRPr="00A90AB8" w:rsidRDefault="007C7FD0">
      <w:pPr>
        <w:pStyle w:val="Heading2"/>
      </w:pPr>
      <w:r w:rsidRPr="00A90AB8">
        <w:lastRenderedPageBreak/>
        <w:t>4. Kế hoạch hành động</w:t>
      </w:r>
    </w:p>
    <w:p w14:paraId="00000423" w14:textId="77777777" w:rsidR="00E01A2A" w:rsidRPr="00A90AB8" w:rsidRDefault="007C7FD0">
      <w:r w:rsidRPr="00A90AB8">
        <w:t>Từ năm học 2024 - 2025 và các năm học tiếp theo, tăng số lượng điều tra ý kiến của các bên liên quan.</w:t>
      </w:r>
    </w:p>
    <w:p w14:paraId="00000424" w14:textId="77777777" w:rsidR="00E01A2A" w:rsidRPr="00A90AB8" w:rsidRDefault="007C7FD0">
      <w:r w:rsidRPr="00A90AB8">
        <w:rPr>
          <w:b/>
        </w:rPr>
        <w:t>5. Tự đánh giá:</w:t>
      </w:r>
      <w:r w:rsidRPr="00A90AB8">
        <w:t xml:space="preserve"> Đạt yêu cầu tiêu chí</w:t>
      </w:r>
    </w:p>
    <w:p w14:paraId="00000425" w14:textId="77777777" w:rsidR="00E01A2A" w:rsidRPr="00A90AB8" w:rsidRDefault="007C7FD0" w:rsidP="00280867">
      <w:pPr>
        <w:pBdr>
          <w:top w:val="nil"/>
          <w:left w:val="nil"/>
          <w:bottom w:val="nil"/>
          <w:right w:val="nil"/>
          <w:between w:val="nil"/>
        </w:pBdr>
        <w:spacing w:before="240"/>
        <w:rPr>
          <w:b/>
          <w:color w:val="000000"/>
        </w:rPr>
      </w:pPr>
      <w:r w:rsidRPr="00A90AB8">
        <w:rPr>
          <w:b/>
          <w:color w:val="000000"/>
        </w:rPr>
        <w:t>Kết luận về Tiêu chuẩn 6:</w:t>
      </w:r>
    </w:p>
    <w:p w14:paraId="00000426" w14:textId="77777777" w:rsidR="00E01A2A" w:rsidRPr="00A90AB8" w:rsidRDefault="007C7FD0" w:rsidP="00280867">
      <w:r w:rsidRPr="00A90AB8">
        <w:t>Người học luôn được Trường hướng dẫn đầy đủ về chương trình đào tạo; được hỗ trợ trong học tập, rèn luyện; thực hiện đầy đủ các chế độ chính sách; tạo cơ hội và môi trường lành mạnh để người học tu dưỡng, rèn luyện tư tưởng, chính trị, đạo đức, lối sống; kiểm tra đánh giá năng lực của người học tốt nghiệp theo mục tiêu đào tạo. Số lượng và chất lượng; tỉ lệ người học ra trường có việc làm cao; được các nhà tuyển dụng đón nhận chính là thước đo khẳng định sự tồn tại và phát triển của Trường. Trong những giai đoạn tới, Trường sẽ tiếp tục nghiên cứu, thực hiện nhiều biện pháp đồng bộ hơn nữa để tiếp tục giữ vững sự ổn định, uy tín; nâng tầm thương hiệu và thu hút nhiều hơn nữa sự quan tâm, tin tưởng và lựa chọn của người học đến với Trường.</w:t>
      </w:r>
    </w:p>
    <w:p w14:paraId="00000427" w14:textId="77777777" w:rsidR="00E01A2A" w:rsidRPr="00A90AB8" w:rsidRDefault="007C7FD0">
      <w:r w:rsidRPr="00A90AB8">
        <w:t>Kết quả tự đánh giá của Tiêu chuẩn 6 có 04 tiêu chí, trong đó 04 tiêu chí đạt và không có tiêu chí không đạt.</w:t>
      </w:r>
    </w:p>
    <w:sectPr w:rsidR="00E01A2A" w:rsidRPr="00A90AB8" w:rsidSect="00D564EB">
      <w:headerReference w:type="default" r:id="rId7"/>
      <w:pgSz w:w="11907" w:h="16840"/>
      <w:pgMar w:top="1253" w:right="1138" w:bottom="1138" w:left="1699"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36A15" w14:textId="77777777" w:rsidR="008D7FFD" w:rsidRDefault="008D7FFD">
      <w:pPr>
        <w:spacing w:line="240" w:lineRule="auto"/>
      </w:pPr>
      <w:r>
        <w:separator/>
      </w:r>
    </w:p>
  </w:endnote>
  <w:endnote w:type="continuationSeparator" w:id="0">
    <w:p w14:paraId="31FBEB8F" w14:textId="77777777" w:rsidR="008D7FFD" w:rsidRDefault="008D7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5C715" w14:textId="77777777" w:rsidR="008D7FFD" w:rsidRDefault="008D7FFD">
      <w:pPr>
        <w:spacing w:line="240" w:lineRule="auto"/>
      </w:pPr>
      <w:r>
        <w:separator/>
      </w:r>
    </w:p>
  </w:footnote>
  <w:footnote w:type="continuationSeparator" w:id="0">
    <w:p w14:paraId="15388A06" w14:textId="77777777" w:rsidR="008D7FFD" w:rsidRDefault="008D7F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6B5" w14:textId="4739D369" w:rsidR="00E01A2A" w:rsidRDefault="007C7FD0">
    <w:pPr>
      <w:ind w:firstLine="0"/>
      <w:jc w:val="center"/>
    </w:pPr>
    <w:r>
      <w:fldChar w:fldCharType="begin"/>
    </w:r>
    <w:r>
      <w:instrText>PAGE</w:instrText>
    </w:r>
    <w:r>
      <w:fldChar w:fldCharType="separate"/>
    </w:r>
    <w:r w:rsidR="007C10FC">
      <w:rPr>
        <w:noProof/>
      </w:rPr>
      <w:t>137</w:t>
    </w:r>
    <w:r>
      <w:fldChar w:fldCharType="end"/>
    </w:r>
  </w:p>
  <w:p w14:paraId="000006B6" w14:textId="77777777" w:rsidR="00E01A2A" w:rsidRDefault="00E01A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A"/>
    <w:rsid w:val="000752C2"/>
    <w:rsid w:val="000E72C8"/>
    <w:rsid w:val="00145B16"/>
    <w:rsid w:val="00162B27"/>
    <w:rsid w:val="00166D0E"/>
    <w:rsid w:val="001874CF"/>
    <w:rsid w:val="001B1924"/>
    <w:rsid w:val="001F562E"/>
    <w:rsid w:val="00250B65"/>
    <w:rsid w:val="00280867"/>
    <w:rsid w:val="002A7775"/>
    <w:rsid w:val="00330B7A"/>
    <w:rsid w:val="003D66D9"/>
    <w:rsid w:val="003E51B6"/>
    <w:rsid w:val="00421B85"/>
    <w:rsid w:val="004354D1"/>
    <w:rsid w:val="00462138"/>
    <w:rsid w:val="004A2A73"/>
    <w:rsid w:val="004A4BFF"/>
    <w:rsid w:val="004E1BB1"/>
    <w:rsid w:val="00515DDA"/>
    <w:rsid w:val="00531906"/>
    <w:rsid w:val="005D4D87"/>
    <w:rsid w:val="0065653B"/>
    <w:rsid w:val="00736107"/>
    <w:rsid w:val="007939D4"/>
    <w:rsid w:val="007C10FC"/>
    <w:rsid w:val="007C7765"/>
    <w:rsid w:val="007C7FD0"/>
    <w:rsid w:val="007F7034"/>
    <w:rsid w:val="0082733A"/>
    <w:rsid w:val="00867F05"/>
    <w:rsid w:val="008C1F8B"/>
    <w:rsid w:val="008D2CF4"/>
    <w:rsid w:val="008D7FFD"/>
    <w:rsid w:val="008E041D"/>
    <w:rsid w:val="00924D3A"/>
    <w:rsid w:val="00994860"/>
    <w:rsid w:val="00A07FD1"/>
    <w:rsid w:val="00A523C4"/>
    <w:rsid w:val="00A81B25"/>
    <w:rsid w:val="00A86459"/>
    <w:rsid w:val="00A90AB8"/>
    <w:rsid w:val="00B077CE"/>
    <w:rsid w:val="00B35D76"/>
    <w:rsid w:val="00BB32EB"/>
    <w:rsid w:val="00BB76A0"/>
    <w:rsid w:val="00D564EB"/>
    <w:rsid w:val="00D73909"/>
    <w:rsid w:val="00D73AF1"/>
    <w:rsid w:val="00D92E26"/>
    <w:rsid w:val="00E01A2A"/>
    <w:rsid w:val="00E364A9"/>
    <w:rsid w:val="00E665BF"/>
    <w:rsid w:val="00F22B24"/>
    <w:rsid w:val="00F60851"/>
    <w:rsid w:val="00FA7531"/>
    <w:rsid w:val="00FB2F9A"/>
    <w:rsid w:val="00FF402F"/>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8ABB"/>
  <w15:docId w15:val="{F03477DE-BD13-4E35-BD38-3ED211A5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pPr>
        <w:widowControl w:val="0"/>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BCL.normal"/>
    <w:qFormat/>
    <w:rsid w:val="00846D27"/>
    <w:rPr>
      <w:rFonts w:eastAsiaTheme="minorHAnsi"/>
      <w:szCs w:val="22"/>
    </w:rPr>
  </w:style>
  <w:style w:type="paragraph" w:styleId="Heading1">
    <w:name w:val="heading 1"/>
    <w:aliases w:val="Heading 1_TieuDePHAN"/>
    <w:basedOn w:val="Hnhnh"/>
    <w:next w:val="Normal"/>
    <w:link w:val="Heading1Char"/>
    <w:uiPriority w:val="9"/>
    <w:qFormat/>
    <w:rsid w:val="00B72C7D"/>
    <w:pPr>
      <w:outlineLvl w:val="0"/>
    </w:pPr>
  </w:style>
  <w:style w:type="paragraph" w:styleId="Heading2">
    <w:name w:val="heading 2"/>
    <w:aliases w:val="TieuDe_ArabNums"/>
    <w:basedOn w:val="Normal"/>
    <w:next w:val="Normal"/>
    <w:link w:val="Heading2Char"/>
    <w:uiPriority w:val="9"/>
    <w:unhideWhenUsed/>
    <w:qFormat/>
    <w:rsid w:val="00D6473E"/>
    <w:pPr>
      <w:keepNext/>
      <w:ind w:firstLine="709"/>
      <w:contextualSpacing/>
      <w:outlineLvl w:val="1"/>
    </w:pPr>
    <w:rPr>
      <w:rFonts w:eastAsia="Times New Roman"/>
      <w:b/>
      <w:bCs/>
      <w:iCs/>
      <w:color w:val="000000"/>
      <w:kern w:val="32"/>
      <w:szCs w:val="26"/>
    </w:rPr>
  </w:style>
  <w:style w:type="paragraph" w:styleId="Heading3">
    <w:name w:val="heading 3"/>
    <w:aliases w:val="TieuDe_AnphaBCD"/>
    <w:basedOn w:val="Normal"/>
    <w:next w:val="Normal"/>
    <w:link w:val="Heading3Char"/>
    <w:uiPriority w:val="9"/>
    <w:unhideWhenUsed/>
    <w:qFormat/>
    <w:rsid w:val="00443EC6"/>
    <w:pPr>
      <w:ind w:firstLine="709"/>
      <w:outlineLvl w:val="2"/>
    </w:pPr>
    <w:rPr>
      <w:szCs w:val="26"/>
    </w:rPr>
  </w:style>
  <w:style w:type="paragraph" w:styleId="Heading4">
    <w:name w:val="heading 4"/>
    <w:basedOn w:val="Normal"/>
    <w:next w:val="Normal"/>
    <w:link w:val="Heading4Char"/>
    <w:uiPriority w:val="9"/>
    <w:semiHidden/>
    <w:unhideWhenUsed/>
    <w:qFormat/>
    <w:rsid w:val="00FB08DD"/>
    <w:pPr>
      <w:keepNext/>
      <w:keepLines/>
      <w:spacing w:before="200"/>
      <w:outlineLvl w:val="3"/>
    </w:pPr>
    <w:rPr>
      <w:rFonts w:ascii="Cambria" w:eastAsia="Times New Roman" w:hAnsi="Cambria"/>
      <w:b/>
      <w:bCs/>
      <w:i/>
      <w:iCs/>
      <w:color w:val="4F81BD"/>
      <w:sz w:val="20"/>
      <w:szCs w:val="20"/>
      <w:lang w:eastAsia="x-none"/>
    </w:rPr>
  </w:style>
  <w:style w:type="paragraph" w:styleId="Heading5">
    <w:name w:val="heading 5"/>
    <w:basedOn w:val="Normal"/>
    <w:next w:val="Normal"/>
    <w:link w:val="Heading5Char"/>
    <w:uiPriority w:val="9"/>
    <w:semiHidden/>
    <w:unhideWhenUsed/>
    <w:qFormat/>
    <w:rsid w:val="004E0F93"/>
    <w:pPr>
      <w:keepNext/>
      <w:keepLines/>
      <w:widowControl/>
      <w:spacing w:before="220" w:after="40"/>
      <w:ind w:firstLine="0"/>
      <w:outlineLvl w:val="4"/>
    </w:pPr>
    <w:rPr>
      <w:rFonts w:eastAsia="Times New Roman"/>
      <w:b/>
      <w:sz w:val="22"/>
      <w:lang w:val="en-GB" w:eastAsia="x-none"/>
    </w:rPr>
  </w:style>
  <w:style w:type="paragraph" w:styleId="Heading6">
    <w:name w:val="heading 6"/>
    <w:basedOn w:val="Normal"/>
    <w:next w:val="Normal"/>
    <w:link w:val="Heading6Char"/>
    <w:uiPriority w:val="9"/>
    <w:semiHidden/>
    <w:unhideWhenUsed/>
    <w:qFormat/>
    <w:rsid w:val="004E0F93"/>
    <w:pPr>
      <w:keepNext/>
      <w:keepLines/>
      <w:widowControl/>
      <w:spacing w:before="200" w:after="40"/>
      <w:ind w:firstLine="0"/>
      <w:outlineLvl w:val="5"/>
    </w:pPr>
    <w:rPr>
      <w:rFonts w:eastAsia="Times New Roman"/>
      <w:b/>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ình,Title 18"/>
    <w:basedOn w:val="Normal"/>
    <w:link w:val="TitleChar"/>
    <w:uiPriority w:val="10"/>
    <w:qFormat/>
    <w:rsid w:val="00B56060"/>
    <w:pPr>
      <w:autoSpaceDE w:val="0"/>
      <w:autoSpaceDN w:val="0"/>
      <w:spacing w:line="288" w:lineRule="auto"/>
    </w:pPr>
    <w:rPr>
      <w:rFonts w:eastAsia="Times New Roman"/>
      <w:b/>
      <w:bCs/>
      <w:sz w:val="24"/>
      <w:szCs w:val="28"/>
      <w:lang w:val="en-GB" w:eastAsia="x-none"/>
    </w:rPr>
  </w:style>
  <w:style w:type="character" w:customStyle="1" w:styleId="Heading1Char">
    <w:name w:val="Heading 1 Char"/>
    <w:aliases w:val="Heading 1_TieuDePHAN Char"/>
    <w:link w:val="Heading1"/>
    <w:uiPriority w:val="9"/>
    <w:rsid w:val="00B72C7D"/>
    <w:rPr>
      <w:rFonts w:eastAsiaTheme="minorHAnsi"/>
      <w:b/>
      <w:color w:val="000000"/>
      <w:kern w:val="2"/>
      <w:szCs w:val="28"/>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1"/>
    <w:unhideWhenUsed/>
    <w:rsid w:val="00B85951"/>
    <w:pPr>
      <w:autoSpaceDE w:val="0"/>
      <w:autoSpaceDN w:val="0"/>
      <w:spacing w:before="60" w:after="60" w:line="360" w:lineRule="exact"/>
      <w:ind w:left="720"/>
      <w:contextualSpacing/>
    </w:pPr>
    <w:rPr>
      <w:rFonts w:ascii=".VnTime" w:eastAsia="Times New Roman" w:hAnsi=".VnTime" w:cs=".VnTime"/>
      <w:szCs w:val="28"/>
      <w:lang w:val="en-GB"/>
    </w:rPr>
  </w:style>
  <w:style w:type="paragraph" w:customStyle="1" w:styleId="TableDBCL">
    <w:name w:val="TableDBCL"/>
    <w:basedOn w:val="Normal"/>
    <w:next w:val="Normal"/>
    <w:uiPriority w:val="1"/>
    <w:qFormat/>
    <w:rsid w:val="00B72C7D"/>
    <w:pPr>
      <w:spacing w:before="120" w:after="120" w:line="240" w:lineRule="auto"/>
      <w:ind w:right="141" w:firstLine="0"/>
    </w:pPr>
    <w:rPr>
      <w:szCs w:val="26"/>
    </w:rPr>
  </w:style>
  <w:style w:type="paragraph" w:styleId="Header">
    <w:name w:val="header"/>
    <w:basedOn w:val="Normal"/>
    <w:link w:val="HeaderChar"/>
    <w:uiPriority w:val="99"/>
    <w:unhideWhenUsed/>
    <w:qFormat/>
    <w:rsid w:val="00372BB9"/>
    <w:pPr>
      <w:tabs>
        <w:tab w:val="center" w:pos="4680"/>
        <w:tab w:val="right" w:pos="9360"/>
      </w:tabs>
      <w:spacing w:line="240" w:lineRule="auto"/>
    </w:pPr>
    <w:rPr>
      <w:sz w:val="20"/>
      <w:szCs w:val="20"/>
      <w:lang w:eastAsia="x-none"/>
    </w:rPr>
  </w:style>
  <w:style w:type="character" w:customStyle="1" w:styleId="HeaderChar">
    <w:name w:val="Header Char"/>
    <w:link w:val="Header"/>
    <w:uiPriority w:val="99"/>
    <w:rsid w:val="004E0F93"/>
    <w:rPr>
      <w:rFonts w:eastAsiaTheme="minorHAnsi"/>
      <w:sz w:val="20"/>
      <w:szCs w:val="20"/>
      <w:lang w:eastAsia="x-none"/>
    </w:rPr>
  </w:style>
  <w:style w:type="paragraph" w:styleId="Footer">
    <w:name w:val="footer"/>
    <w:basedOn w:val="Normal"/>
    <w:link w:val="FooterChar"/>
    <w:uiPriority w:val="99"/>
    <w:unhideWhenUsed/>
    <w:qFormat/>
    <w:rsid w:val="00372BB9"/>
    <w:pPr>
      <w:tabs>
        <w:tab w:val="center" w:pos="4680"/>
        <w:tab w:val="right" w:pos="9360"/>
      </w:tabs>
      <w:spacing w:line="240" w:lineRule="auto"/>
    </w:pPr>
    <w:rPr>
      <w:sz w:val="20"/>
      <w:szCs w:val="20"/>
      <w:lang w:eastAsia="x-none"/>
    </w:rPr>
  </w:style>
  <w:style w:type="character" w:customStyle="1" w:styleId="FooterChar">
    <w:name w:val="Footer Char"/>
    <w:link w:val="Footer"/>
    <w:uiPriority w:val="99"/>
    <w:rsid w:val="004E0F93"/>
    <w:rPr>
      <w:rFonts w:eastAsiaTheme="minorHAnsi"/>
      <w:sz w:val="20"/>
      <w:szCs w:val="20"/>
      <w:lang w:eastAsia="x-none"/>
    </w:rPr>
  </w:style>
  <w:style w:type="character" w:customStyle="1" w:styleId="fontstyle01">
    <w:name w:val="fontstyle01"/>
    <w:rsid w:val="00254DE4"/>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qFormat/>
    <w:rsid w:val="00254DE4"/>
    <w:pPr>
      <w:autoSpaceDE w:val="0"/>
      <w:autoSpaceDN w:val="0"/>
      <w:spacing w:before="60" w:after="60" w:line="240" w:lineRule="auto"/>
    </w:pPr>
    <w:rPr>
      <w:rFonts w:ascii=".VnTime" w:eastAsia="Times New Roman" w:hAnsi=".VnTime"/>
      <w:sz w:val="20"/>
      <w:szCs w:val="20"/>
      <w:lang w:val="en-GB" w:eastAsia="x-none"/>
    </w:rPr>
  </w:style>
  <w:style w:type="character" w:customStyle="1" w:styleId="CommentTextChar">
    <w:name w:val="Comment Text Char"/>
    <w:link w:val="CommentText"/>
    <w:uiPriority w:val="99"/>
    <w:rsid w:val="004E0F93"/>
    <w:rPr>
      <w:rFonts w:ascii=".VnTime" w:hAnsi=".VnTime"/>
      <w:sz w:val="20"/>
      <w:szCs w:val="20"/>
      <w:lang w:val="en-GB" w:eastAsia="x-none"/>
    </w:rPr>
  </w:style>
  <w:style w:type="character" w:customStyle="1" w:styleId="Heading2Char">
    <w:name w:val="Heading 2 Char"/>
    <w:aliases w:val="TieuDe_ArabNums Char"/>
    <w:basedOn w:val="DefaultParagraphFont"/>
    <w:link w:val="Heading2"/>
    <w:uiPriority w:val="9"/>
    <w:rsid w:val="004E0F93"/>
    <w:rPr>
      <w:b/>
      <w:bCs/>
      <w:iCs/>
      <w:color w:val="000000"/>
      <w:kern w:val="32"/>
    </w:rPr>
  </w:style>
  <w:style w:type="table" w:styleId="TableGrid">
    <w:name w:val="Table Grid"/>
    <w:basedOn w:val="TableNormal"/>
    <w:uiPriority w:val="39"/>
    <w:rsid w:val="001635C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AA9"/>
    <w:pPr>
      <w:autoSpaceDE w:val="0"/>
      <w:autoSpaceDN w:val="0"/>
      <w:adjustRightInd w:val="0"/>
    </w:pPr>
    <w:rPr>
      <w:color w:val="000000"/>
      <w:sz w:val="24"/>
      <w:szCs w:val="24"/>
    </w:rPr>
  </w:style>
  <w:style w:type="paragraph" w:customStyle="1" w:styleId="Bng">
    <w:name w:val="Bảng"/>
    <w:basedOn w:val="Normal"/>
    <w:uiPriority w:val="99"/>
    <w:qFormat/>
    <w:rsid w:val="009E0A3C"/>
    <w:rPr>
      <w:rFonts w:eastAsia="Calibri"/>
      <w:b/>
      <w:sz w:val="24"/>
    </w:rPr>
  </w:style>
  <w:style w:type="paragraph" w:styleId="BalloonText">
    <w:name w:val="Balloon Text"/>
    <w:basedOn w:val="Normal"/>
    <w:link w:val="BalloonTextChar"/>
    <w:uiPriority w:val="99"/>
    <w:unhideWhenUsed/>
    <w:qFormat/>
    <w:rsid w:val="009E0A3C"/>
    <w:pPr>
      <w:spacing w:line="240" w:lineRule="auto"/>
    </w:pPr>
    <w:rPr>
      <w:rFonts w:ascii="Tahoma" w:hAnsi="Tahoma"/>
      <w:sz w:val="16"/>
      <w:szCs w:val="16"/>
      <w:lang w:eastAsia="x-none"/>
    </w:rPr>
  </w:style>
  <w:style w:type="character" w:customStyle="1" w:styleId="BalloonTextChar">
    <w:name w:val="Balloon Text Char"/>
    <w:link w:val="BalloonText"/>
    <w:uiPriority w:val="99"/>
    <w:rsid w:val="004E0F93"/>
    <w:rPr>
      <w:rFonts w:ascii="Tahoma" w:eastAsiaTheme="minorHAnsi" w:hAnsi="Tahoma"/>
      <w:sz w:val="16"/>
      <w:szCs w:val="16"/>
      <w:lang w:eastAsia="x-none"/>
    </w:rPr>
  </w:style>
  <w:style w:type="paragraph" w:customStyle="1" w:styleId="Tiuchun">
    <w:name w:val="Tiêu chuẩn"/>
    <w:basedOn w:val="Heading2"/>
    <w:link w:val="TiuchunChar"/>
    <w:qFormat/>
    <w:rsid w:val="006A0E5E"/>
    <w:pPr>
      <w:ind w:firstLine="720"/>
    </w:pPr>
    <w:rPr>
      <w:sz w:val="20"/>
      <w:lang w:val="en-GB"/>
    </w:rPr>
  </w:style>
  <w:style w:type="character" w:customStyle="1" w:styleId="TiuchunChar">
    <w:name w:val="Tiêu chuẩn Char"/>
    <w:link w:val="Tiuchun"/>
    <w:rsid w:val="006A0E5E"/>
    <w:rPr>
      <w:rFonts w:eastAsia="Times New Roman" w:cs="Times New Roman"/>
      <w:b/>
      <w:bCs/>
      <w:noProof/>
      <w:szCs w:val="28"/>
      <w:lang w:val="en-GB"/>
    </w:rPr>
  </w:style>
  <w:style w:type="character" w:customStyle="1" w:styleId="Vnbnnidung">
    <w:name w:val="Văn bản nội dung_"/>
    <w:link w:val="Vnbnnidung0"/>
    <w:rsid w:val="008C6107"/>
    <w:rPr>
      <w:sz w:val="18"/>
      <w:szCs w:val="18"/>
    </w:rPr>
  </w:style>
  <w:style w:type="paragraph" w:customStyle="1" w:styleId="Vnbnnidung0">
    <w:name w:val="Văn bản nội dung"/>
    <w:basedOn w:val="Normal"/>
    <w:link w:val="Vnbnnidung"/>
    <w:qFormat/>
    <w:rsid w:val="008C6107"/>
    <w:pPr>
      <w:spacing w:after="80" w:line="254" w:lineRule="auto"/>
      <w:ind w:firstLine="400"/>
    </w:pPr>
    <w:rPr>
      <w:sz w:val="18"/>
      <w:szCs w:val="18"/>
      <w:lang w:val="x-none" w:eastAsia="x-none"/>
    </w:rPr>
  </w:style>
  <w:style w:type="character" w:customStyle="1" w:styleId="Heading3Char">
    <w:name w:val="Heading 3 Char"/>
    <w:aliases w:val="TieuDe_AnphaBCD Char"/>
    <w:basedOn w:val="DefaultParagraphFont"/>
    <w:link w:val="Heading3"/>
    <w:uiPriority w:val="9"/>
    <w:rsid w:val="004E0F93"/>
    <w:rPr>
      <w:rFonts w:eastAsiaTheme="minorHAnsi"/>
    </w:rPr>
  </w:style>
  <w:style w:type="character" w:customStyle="1" w:styleId="Heading4Char">
    <w:name w:val="Heading 4 Char"/>
    <w:link w:val="Heading4"/>
    <w:uiPriority w:val="9"/>
    <w:rsid w:val="004E0F93"/>
    <w:rPr>
      <w:rFonts w:ascii="Cambria" w:hAnsi="Cambria"/>
      <w:b/>
      <w:bCs/>
      <w:i/>
      <w:iCs/>
      <w:color w:val="4F81BD"/>
      <w:sz w:val="20"/>
      <w:szCs w:val="20"/>
      <w:lang w:eastAsia="x-none"/>
    </w:rPr>
  </w:style>
  <w:style w:type="paragraph" w:styleId="TOCHeading">
    <w:name w:val="TOC Heading"/>
    <w:basedOn w:val="Heading1"/>
    <w:next w:val="Normal"/>
    <w:uiPriority w:val="39"/>
    <w:semiHidden/>
    <w:unhideWhenUsed/>
    <w:qFormat/>
    <w:rsid w:val="00FB08DD"/>
    <w:pPr>
      <w:spacing w:before="480"/>
      <w:outlineLvl w:val="9"/>
    </w:pPr>
    <w:rPr>
      <w:rFonts w:ascii="Cambria" w:hAnsi="Cambria"/>
      <w:color w:val="365F91"/>
    </w:rPr>
  </w:style>
  <w:style w:type="paragraph" w:styleId="TOC1">
    <w:name w:val="toc 1"/>
    <w:basedOn w:val="Normal"/>
    <w:next w:val="Normal"/>
    <w:autoRedefine/>
    <w:uiPriority w:val="39"/>
    <w:unhideWhenUsed/>
    <w:qFormat/>
    <w:rsid w:val="00436FFF"/>
    <w:pPr>
      <w:shd w:val="clear" w:color="auto" w:fill="FFFFFF"/>
      <w:tabs>
        <w:tab w:val="right" w:leader="dot" w:pos="9345"/>
      </w:tabs>
    </w:pPr>
    <w:rPr>
      <w:b/>
      <w:iCs/>
      <w:spacing w:val="-8"/>
      <w:szCs w:val="28"/>
      <w:lang w:eastAsia="vi-VN" w:bidi="vi-VN"/>
    </w:rPr>
  </w:style>
  <w:style w:type="paragraph" w:styleId="TOC2">
    <w:name w:val="toc 2"/>
    <w:basedOn w:val="Normal"/>
    <w:next w:val="Normal"/>
    <w:autoRedefine/>
    <w:uiPriority w:val="39"/>
    <w:unhideWhenUsed/>
    <w:qFormat/>
    <w:rsid w:val="00707EC9"/>
    <w:pPr>
      <w:tabs>
        <w:tab w:val="right" w:leader="dot" w:pos="9345"/>
      </w:tabs>
    </w:pPr>
    <w:rPr>
      <w:rFonts w:eastAsia="Times New Roman"/>
      <w:bCs/>
      <w:szCs w:val="28"/>
      <w:lang w:val="x-none" w:eastAsia="x-none"/>
    </w:rPr>
  </w:style>
  <w:style w:type="paragraph" w:styleId="TOC3">
    <w:name w:val="toc 3"/>
    <w:basedOn w:val="Normal"/>
    <w:next w:val="Normal"/>
    <w:autoRedefine/>
    <w:uiPriority w:val="39"/>
    <w:unhideWhenUsed/>
    <w:qFormat/>
    <w:rsid w:val="00FB08DD"/>
    <w:pPr>
      <w:ind w:left="560"/>
    </w:pPr>
    <w:rPr>
      <w:rFonts w:ascii="Calibri" w:hAnsi="Calibri" w:cs="Calibri"/>
      <w:sz w:val="20"/>
      <w:szCs w:val="20"/>
    </w:rPr>
  </w:style>
  <w:style w:type="paragraph" w:styleId="TOC4">
    <w:name w:val="toc 4"/>
    <w:basedOn w:val="Normal"/>
    <w:next w:val="Normal"/>
    <w:autoRedefine/>
    <w:uiPriority w:val="39"/>
    <w:unhideWhenUsed/>
    <w:qFormat/>
    <w:rsid w:val="00FB08DD"/>
    <w:pPr>
      <w:ind w:left="840"/>
    </w:pPr>
    <w:rPr>
      <w:rFonts w:ascii="Calibri" w:hAnsi="Calibri" w:cs="Calibri"/>
      <w:sz w:val="20"/>
      <w:szCs w:val="20"/>
    </w:rPr>
  </w:style>
  <w:style w:type="paragraph" w:styleId="TOC5">
    <w:name w:val="toc 5"/>
    <w:basedOn w:val="Normal"/>
    <w:next w:val="Normal"/>
    <w:autoRedefine/>
    <w:uiPriority w:val="39"/>
    <w:unhideWhenUsed/>
    <w:qFormat/>
    <w:rsid w:val="00FB08DD"/>
    <w:pPr>
      <w:ind w:left="1120"/>
    </w:pPr>
    <w:rPr>
      <w:rFonts w:ascii="Calibri" w:hAnsi="Calibri" w:cs="Calibri"/>
      <w:sz w:val="20"/>
      <w:szCs w:val="20"/>
    </w:rPr>
  </w:style>
  <w:style w:type="paragraph" w:styleId="TOC6">
    <w:name w:val="toc 6"/>
    <w:basedOn w:val="Normal"/>
    <w:next w:val="Normal"/>
    <w:autoRedefine/>
    <w:uiPriority w:val="39"/>
    <w:unhideWhenUsed/>
    <w:qFormat/>
    <w:rsid w:val="00FB08DD"/>
    <w:pPr>
      <w:ind w:left="1400"/>
    </w:pPr>
    <w:rPr>
      <w:rFonts w:ascii="Calibri" w:hAnsi="Calibri" w:cs="Calibri"/>
      <w:sz w:val="20"/>
      <w:szCs w:val="20"/>
    </w:rPr>
  </w:style>
  <w:style w:type="paragraph" w:styleId="TOC7">
    <w:name w:val="toc 7"/>
    <w:basedOn w:val="Normal"/>
    <w:next w:val="Normal"/>
    <w:autoRedefine/>
    <w:uiPriority w:val="39"/>
    <w:unhideWhenUsed/>
    <w:qFormat/>
    <w:rsid w:val="00FB08DD"/>
    <w:pPr>
      <w:ind w:left="1680"/>
    </w:pPr>
    <w:rPr>
      <w:rFonts w:ascii="Calibri" w:hAnsi="Calibri" w:cs="Calibri"/>
      <w:sz w:val="20"/>
      <w:szCs w:val="20"/>
    </w:rPr>
  </w:style>
  <w:style w:type="paragraph" w:styleId="TOC8">
    <w:name w:val="toc 8"/>
    <w:basedOn w:val="Normal"/>
    <w:next w:val="Normal"/>
    <w:autoRedefine/>
    <w:uiPriority w:val="39"/>
    <w:unhideWhenUsed/>
    <w:qFormat/>
    <w:rsid w:val="00FB08DD"/>
    <w:pPr>
      <w:ind w:left="1960"/>
    </w:pPr>
    <w:rPr>
      <w:rFonts w:ascii="Calibri" w:hAnsi="Calibri" w:cs="Calibri"/>
      <w:sz w:val="20"/>
      <w:szCs w:val="20"/>
    </w:rPr>
  </w:style>
  <w:style w:type="paragraph" w:styleId="TOC9">
    <w:name w:val="toc 9"/>
    <w:basedOn w:val="Normal"/>
    <w:next w:val="Normal"/>
    <w:autoRedefine/>
    <w:uiPriority w:val="39"/>
    <w:unhideWhenUsed/>
    <w:qFormat/>
    <w:rsid w:val="00FB08DD"/>
    <w:pPr>
      <w:ind w:left="2240"/>
    </w:pPr>
    <w:rPr>
      <w:rFonts w:ascii="Calibri" w:hAnsi="Calibri" w:cs="Calibri"/>
      <w:sz w:val="20"/>
      <w:szCs w:val="20"/>
    </w:rPr>
  </w:style>
  <w:style w:type="character" w:styleId="Hyperlink">
    <w:name w:val="Hyperlink"/>
    <w:uiPriority w:val="99"/>
    <w:unhideWhenUsed/>
    <w:qFormat/>
    <w:rsid w:val="00FB08DD"/>
    <w:rPr>
      <w:color w:val="0000FF"/>
      <w:u w:val="single"/>
    </w:rPr>
  </w:style>
  <w:style w:type="numbering" w:customStyle="1" w:styleId="NoList1">
    <w:name w:val="No List1"/>
    <w:next w:val="NoList"/>
    <w:uiPriority w:val="99"/>
    <w:semiHidden/>
    <w:unhideWhenUsed/>
    <w:rsid w:val="0095369C"/>
  </w:style>
  <w:style w:type="character" w:customStyle="1" w:styleId="UnresolvedMention1">
    <w:name w:val="Unresolved Mention1"/>
    <w:uiPriority w:val="99"/>
    <w:semiHidden/>
    <w:unhideWhenUsed/>
    <w:rsid w:val="0095369C"/>
    <w:rPr>
      <w:color w:val="605E5C"/>
      <w:shd w:val="clear" w:color="auto" w:fill="E1DFDD"/>
    </w:rPr>
  </w:style>
  <w:style w:type="table" w:customStyle="1" w:styleId="TableGrid1">
    <w:name w:val="Table Grid1"/>
    <w:basedOn w:val="TableNormal"/>
    <w:next w:val="TableGrid"/>
    <w:uiPriority w:val="59"/>
    <w:unhideWhenUsed/>
    <w:rsid w:val="0095369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5369C"/>
    <w:pPr>
      <w:spacing w:before="100" w:beforeAutospacing="1" w:after="100" w:afterAutospacing="1" w:line="240" w:lineRule="auto"/>
    </w:pPr>
    <w:rPr>
      <w:rFonts w:eastAsia="Times New Roman"/>
      <w:sz w:val="24"/>
      <w:szCs w:val="24"/>
    </w:rPr>
  </w:style>
  <w:style w:type="character" w:styleId="FootnoteReference">
    <w:name w:val="footnote reference"/>
    <w:semiHidden/>
    <w:qFormat/>
    <w:rsid w:val="0095369C"/>
    <w:rPr>
      <w:vertAlign w:val="superscript"/>
    </w:rPr>
  </w:style>
  <w:style w:type="paragraph" w:styleId="FootnoteText">
    <w:name w:val="footnote text"/>
    <w:basedOn w:val="Normal"/>
    <w:link w:val="FootnoteTextChar"/>
    <w:semiHidden/>
    <w:qFormat/>
    <w:rsid w:val="0095369C"/>
    <w:pPr>
      <w:autoSpaceDE w:val="0"/>
      <w:autoSpaceDN w:val="0"/>
      <w:spacing w:before="60" w:after="60" w:line="360" w:lineRule="exact"/>
    </w:pPr>
    <w:rPr>
      <w:rFonts w:ascii=".VnTime" w:eastAsia="Times New Roman" w:hAnsi=".VnTime"/>
      <w:sz w:val="20"/>
      <w:szCs w:val="20"/>
      <w:lang w:val="en-GB" w:eastAsia="x-none"/>
    </w:rPr>
  </w:style>
  <w:style w:type="character" w:customStyle="1" w:styleId="FootnoteTextChar">
    <w:name w:val="Footnote Text Char"/>
    <w:link w:val="FootnoteText"/>
    <w:semiHidden/>
    <w:qFormat/>
    <w:rsid w:val="0095369C"/>
    <w:rPr>
      <w:rFonts w:ascii=".VnTime" w:eastAsia="Times New Roman" w:hAnsi=".VnTime" w:cs="Times New Roman"/>
      <w:sz w:val="20"/>
      <w:szCs w:val="20"/>
      <w:lang w:val="en-GB"/>
    </w:rPr>
  </w:style>
  <w:style w:type="character" w:styleId="FollowedHyperlink">
    <w:name w:val="FollowedHyperlink"/>
    <w:uiPriority w:val="99"/>
    <w:unhideWhenUsed/>
    <w:qFormat/>
    <w:rsid w:val="00B82A04"/>
    <w:rPr>
      <w:color w:val="800080"/>
      <w:u w:val="single"/>
    </w:rPr>
  </w:style>
  <w:style w:type="table" w:customStyle="1" w:styleId="TableGrid2">
    <w:name w:val="Table Grid2"/>
    <w:basedOn w:val="TableNormal"/>
    <w:next w:val="TableGrid"/>
    <w:uiPriority w:val="39"/>
    <w:rsid w:val="003357CB"/>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5027"/>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Hình Char,Title 18 Char"/>
    <w:link w:val="Title"/>
    <w:uiPriority w:val="10"/>
    <w:qFormat/>
    <w:rsid w:val="004E0F93"/>
    <w:rPr>
      <w:b/>
      <w:bCs/>
      <w:sz w:val="24"/>
      <w:szCs w:val="28"/>
      <w:lang w:val="en-GB" w:eastAsia="x-none"/>
    </w:rPr>
  </w:style>
  <w:style w:type="table" w:customStyle="1" w:styleId="TableGrid4">
    <w:name w:val="Table Grid4"/>
    <w:basedOn w:val="TableNormal"/>
    <w:next w:val="TableGrid"/>
    <w:uiPriority w:val="39"/>
    <w:rsid w:val="00D771E2"/>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semiHidden/>
    <w:rsid w:val="004E0F93"/>
    <w:rPr>
      <w:b/>
      <w:sz w:val="22"/>
      <w:szCs w:val="22"/>
      <w:lang w:val="en-GB" w:eastAsia="x-none"/>
    </w:rPr>
  </w:style>
  <w:style w:type="character" w:customStyle="1" w:styleId="Heading6Char">
    <w:name w:val="Heading 6 Char"/>
    <w:link w:val="Heading6"/>
    <w:rsid w:val="00C93765"/>
    <w:rPr>
      <w:rFonts w:eastAsia="Times New Roman"/>
      <w:b/>
      <w:lang w:val="en-GB"/>
    </w:rPr>
  </w:style>
  <w:style w:type="character" w:styleId="CommentReference">
    <w:name w:val="annotation reference"/>
    <w:uiPriority w:val="99"/>
    <w:unhideWhenUsed/>
    <w:qFormat/>
    <w:rsid w:val="00C93765"/>
    <w:rPr>
      <w:sz w:val="16"/>
      <w:szCs w:val="16"/>
    </w:rPr>
  </w:style>
  <w:style w:type="paragraph" w:styleId="CommentSubject">
    <w:name w:val="annotation subject"/>
    <w:basedOn w:val="CommentText"/>
    <w:next w:val="CommentText"/>
    <w:link w:val="CommentSubjectChar"/>
    <w:uiPriority w:val="99"/>
    <w:unhideWhenUsed/>
    <w:qFormat/>
    <w:rsid w:val="00C93765"/>
    <w:rPr>
      <w:b/>
      <w:bCs/>
    </w:rPr>
  </w:style>
  <w:style w:type="character" w:customStyle="1" w:styleId="CommentSubjectChar">
    <w:name w:val="Comment Subject Char"/>
    <w:link w:val="CommentSubject"/>
    <w:uiPriority w:val="99"/>
    <w:rsid w:val="004E0F93"/>
    <w:rPr>
      <w:rFonts w:ascii=".VnTime" w:hAnsi=".VnTime"/>
      <w:b/>
      <w:bCs/>
      <w:sz w:val="20"/>
      <w:szCs w:val="20"/>
      <w:lang w:val="en-GB" w:eastAsia="x-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link w:val="Subtitle"/>
    <w:uiPriority w:val="11"/>
    <w:rsid w:val="004E0F93"/>
    <w:rPr>
      <w:rFonts w:ascii="Georgia" w:eastAsia="Georgia" w:hAnsi="Georgia" w:cs="Georgia"/>
      <w:i/>
      <w:color w:val="666666"/>
      <w:sz w:val="48"/>
      <w:szCs w:val="48"/>
    </w:rPr>
  </w:style>
  <w:style w:type="character" w:styleId="PageNumber">
    <w:name w:val="page number"/>
    <w:basedOn w:val="DefaultParagraphFont"/>
    <w:unhideWhenUsed/>
    <w:rsid w:val="00C93765"/>
  </w:style>
  <w:style w:type="character" w:styleId="Strong">
    <w:name w:val="Strong"/>
    <w:uiPriority w:val="22"/>
    <w:unhideWhenUsed/>
    <w:qFormat/>
    <w:rsid w:val="00C93765"/>
    <w:rPr>
      <w:b/>
      <w:bCs/>
    </w:rPr>
  </w:style>
  <w:style w:type="character" w:styleId="Emphasis">
    <w:name w:val="Emphasis"/>
    <w:uiPriority w:val="20"/>
    <w:unhideWhenUsed/>
    <w:qFormat/>
    <w:rsid w:val="00C93765"/>
    <w:rPr>
      <w:i/>
      <w:iCs/>
    </w:rPr>
  </w:style>
  <w:style w:type="paragraph" w:styleId="NoSpacing">
    <w:name w:val="No Spacing"/>
    <w:uiPriority w:val="1"/>
    <w:unhideWhenUsed/>
    <w:qFormat/>
    <w:rsid w:val="00C93765"/>
    <w:rPr>
      <w:sz w:val="28"/>
      <w:szCs w:val="22"/>
    </w:rPr>
  </w:style>
  <w:style w:type="paragraph" w:styleId="Quote">
    <w:name w:val="Quote"/>
    <w:basedOn w:val="Normal"/>
    <w:next w:val="Normal"/>
    <w:link w:val="QuoteChar"/>
    <w:uiPriority w:val="29"/>
    <w:unhideWhenUsed/>
    <w:qFormat/>
    <w:rsid w:val="00C93765"/>
    <w:pPr>
      <w:spacing w:line="240" w:lineRule="auto"/>
    </w:pPr>
    <w:rPr>
      <w:i/>
      <w:iCs/>
      <w:color w:val="000000"/>
      <w:lang w:val="x-none" w:eastAsia="x-none"/>
    </w:rPr>
  </w:style>
  <w:style w:type="character" w:customStyle="1" w:styleId="QuoteChar">
    <w:name w:val="Quote Char"/>
    <w:link w:val="Quote"/>
    <w:uiPriority w:val="29"/>
    <w:rsid w:val="004E0F93"/>
    <w:rPr>
      <w:rFonts w:eastAsiaTheme="minorHAnsi"/>
      <w:i/>
      <w:iCs/>
      <w:color w:val="000000"/>
      <w:szCs w:val="22"/>
      <w:lang w:val="x-none" w:eastAsia="x-none"/>
    </w:rPr>
  </w:style>
  <w:style w:type="character" w:styleId="SubtleEmphasis">
    <w:name w:val="Subtle Emphasis"/>
    <w:uiPriority w:val="19"/>
    <w:unhideWhenUsed/>
    <w:qFormat/>
    <w:rsid w:val="00C93765"/>
    <w:rPr>
      <w:i/>
      <w:iCs/>
      <w:color w:val="808080"/>
    </w:rPr>
  </w:style>
  <w:style w:type="character" w:styleId="IntenseEmphasis">
    <w:name w:val="Intense Emphasis"/>
    <w:uiPriority w:val="21"/>
    <w:unhideWhenUsed/>
    <w:qFormat/>
    <w:rsid w:val="00C93765"/>
    <w:rPr>
      <w:b/>
      <w:bCs/>
      <w:i/>
      <w:iCs/>
      <w:color w:val="4F81BD"/>
    </w:rPr>
  </w:style>
  <w:style w:type="character" w:customStyle="1" w:styleId="CharChar">
    <w:name w:val="Char Char"/>
    <w:uiPriority w:val="99"/>
    <w:rsid w:val="00C93765"/>
    <w:rPr>
      <w:rFonts w:ascii=".VnTimeH" w:hAnsi=".VnTimeH" w:cs="Times New Roman"/>
      <w:b/>
      <w:bCs/>
      <w:sz w:val="28"/>
      <w:szCs w:val="28"/>
      <w:lang w:val="en-GB"/>
    </w:rPr>
  </w:style>
  <w:style w:type="paragraph" w:styleId="Revision">
    <w:name w:val="Revision"/>
    <w:hidden/>
    <w:uiPriority w:val="99"/>
    <w:semiHidden/>
    <w:qFormat/>
    <w:rsid w:val="00C93765"/>
    <w:rPr>
      <w:rFonts w:ascii=".VnTime" w:hAnsi=".VnTime" w:cs=".VnTime"/>
      <w:sz w:val="28"/>
      <w:szCs w:val="28"/>
      <w:lang w:val="en-GB"/>
    </w:rPr>
  </w:style>
  <w:style w:type="paragraph" w:styleId="Caption">
    <w:name w:val="caption"/>
    <w:basedOn w:val="Normal"/>
    <w:next w:val="Normal"/>
    <w:autoRedefine/>
    <w:unhideWhenUsed/>
    <w:qFormat/>
    <w:rsid w:val="00876EED"/>
    <w:pPr>
      <w:keepNext/>
      <w:autoSpaceDE w:val="0"/>
      <w:autoSpaceDN w:val="0"/>
      <w:spacing w:before="200" w:after="100"/>
    </w:pPr>
    <w:rPr>
      <w:rFonts w:eastAsia="Times New Roman" w:cs=".VnTime"/>
      <w:b/>
      <w:bCs/>
      <w:i/>
      <w:iCs/>
      <w:szCs w:val="26"/>
      <w:lang w:val="en-GB"/>
    </w:rPr>
  </w:style>
  <w:style w:type="paragraph" w:customStyle="1" w:styleId="Biu">
    <w:name w:val="Biểu đồ"/>
    <w:basedOn w:val="Heading1"/>
    <w:qFormat/>
    <w:rsid w:val="00A17CBF"/>
    <w:pPr>
      <w:spacing w:line="288" w:lineRule="auto"/>
      <w:outlineLvl w:val="9"/>
    </w:pPr>
    <w:rPr>
      <w:sz w:val="24"/>
    </w:rPr>
  </w:style>
  <w:style w:type="paragraph" w:customStyle="1" w:styleId="S">
    <w:name w:val="Sơ đồ"/>
    <w:basedOn w:val="Normal"/>
    <w:qFormat/>
    <w:rsid w:val="00A45F28"/>
    <w:rPr>
      <w:rFonts w:eastAsia="Times New Roman"/>
      <w:b/>
      <w:color w:val="000000"/>
      <w:sz w:val="24"/>
      <w:szCs w:val="28"/>
    </w:rPr>
  </w:style>
  <w:style w:type="numbering" w:customStyle="1" w:styleId="NoList2">
    <w:name w:val="No List2"/>
    <w:next w:val="NoList"/>
    <w:uiPriority w:val="99"/>
    <w:semiHidden/>
    <w:unhideWhenUsed/>
    <w:rsid w:val="00CC31C8"/>
  </w:style>
  <w:style w:type="table" w:customStyle="1" w:styleId="TableGrid5">
    <w:name w:val="Table Grid5"/>
    <w:basedOn w:val="TableNormal"/>
    <w:next w:val="TableGrid"/>
    <w:uiPriority w:val="59"/>
    <w:rsid w:val="0073715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E52DAD"/>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2D1237"/>
  </w:style>
  <w:style w:type="character" w:customStyle="1" w:styleId="Other">
    <w:name w:val="Other_"/>
    <w:link w:val="Other0"/>
    <w:rsid w:val="002D1237"/>
    <w:rPr>
      <w:rFonts w:eastAsia="Times New Roman"/>
      <w:sz w:val="26"/>
      <w:szCs w:val="26"/>
    </w:rPr>
  </w:style>
  <w:style w:type="paragraph" w:customStyle="1" w:styleId="Other0">
    <w:name w:val="Other"/>
    <w:basedOn w:val="Normal"/>
    <w:link w:val="Other"/>
    <w:qFormat/>
    <w:rsid w:val="002D1237"/>
    <w:pPr>
      <w:spacing w:after="120" w:line="312" w:lineRule="auto"/>
      <w:ind w:firstLine="400"/>
    </w:pPr>
    <w:rPr>
      <w:rFonts w:eastAsia="Times New Roman"/>
      <w:szCs w:val="26"/>
      <w:lang w:val="x-none" w:eastAsia="x-none"/>
    </w:rPr>
  </w:style>
  <w:style w:type="table" w:customStyle="1" w:styleId="TableGrid7">
    <w:name w:val="Table Grid7"/>
    <w:basedOn w:val="TableNormal"/>
    <w:next w:val="TableGrid"/>
    <w:uiPriority w:val="39"/>
    <w:rsid w:val="002D123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42E5"/>
  </w:style>
  <w:style w:type="table" w:customStyle="1" w:styleId="TableGrid8">
    <w:name w:val="Table Grid8"/>
    <w:basedOn w:val="TableNormal"/>
    <w:next w:val="TableGrid"/>
    <w:uiPriority w:val="39"/>
    <w:rsid w:val="005742E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742E5"/>
  </w:style>
  <w:style w:type="numbering" w:customStyle="1" w:styleId="NoList21">
    <w:name w:val="No List21"/>
    <w:next w:val="NoList"/>
    <w:uiPriority w:val="99"/>
    <w:semiHidden/>
    <w:unhideWhenUsed/>
    <w:rsid w:val="005742E5"/>
  </w:style>
  <w:style w:type="table" w:customStyle="1" w:styleId="TableGrid51">
    <w:name w:val="Table Grid5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42E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742E5"/>
  </w:style>
  <w:style w:type="table" w:customStyle="1" w:styleId="TableGrid71">
    <w:name w:val="Table Grid71"/>
    <w:basedOn w:val="TableNormal"/>
    <w:next w:val="TableGrid"/>
    <w:uiPriority w:val="39"/>
    <w:rsid w:val="005742E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Cminhchng">
    <w:name w:val="TC minh chứng"/>
    <w:basedOn w:val="Heading1"/>
    <w:qFormat/>
    <w:rsid w:val="00AC1111"/>
    <w:pPr>
      <w:spacing w:line="288" w:lineRule="auto"/>
      <w:outlineLvl w:val="9"/>
    </w:pPr>
    <w:rPr>
      <w:sz w:val="24"/>
    </w:rPr>
  </w:style>
  <w:style w:type="character" w:customStyle="1" w:styleId="UnresolvedMention2">
    <w:name w:val="Unresolved Mention2"/>
    <w:unhideWhenUsed/>
    <w:qFormat/>
    <w:rsid w:val="00254C9F"/>
    <w:rPr>
      <w:color w:val="605E5C"/>
      <w:shd w:val="clear" w:color="auto" w:fill="E1DFDD"/>
    </w:rPr>
  </w:style>
  <w:style w:type="table" w:customStyle="1" w:styleId="TableGrid52">
    <w:name w:val="Table Grid5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254C9F"/>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254C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A42FA"/>
  </w:style>
  <w:style w:type="table" w:customStyle="1" w:styleId="TableGrid9">
    <w:name w:val="Table Grid9"/>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42FA"/>
  </w:style>
  <w:style w:type="table" w:customStyle="1" w:styleId="TableGrid11">
    <w:name w:val="Table Grid11"/>
    <w:basedOn w:val="TableNormal"/>
    <w:next w:val="TableGrid"/>
    <w:uiPriority w:val="59"/>
    <w:unhideWhenUsed/>
    <w:rsid w:val="00BA42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A42FA"/>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A42FA"/>
  </w:style>
  <w:style w:type="table" w:customStyle="1" w:styleId="TableGrid53">
    <w:name w:val="Table Grid5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BA42FA"/>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A42FA"/>
  </w:style>
  <w:style w:type="table" w:customStyle="1" w:styleId="TableGrid73">
    <w:name w:val="Table Grid73"/>
    <w:basedOn w:val="TableNormal"/>
    <w:next w:val="TableGrid"/>
    <w:uiPriority w:val="39"/>
    <w:rsid w:val="00BA42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BA42FA"/>
  </w:style>
  <w:style w:type="table" w:customStyle="1" w:styleId="TableGrid81">
    <w:name w:val="Table Grid81"/>
    <w:basedOn w:val="TableNormal"/>
    <w:next w:val="TableGrid"/>
    <w:uiPriority w:val="39"/>
    <w:rsid w:val="00BA42FA"/>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42FA"/>
  </w:style>
  <w:style w:type="table" w:customStyle="1" w:styleId="TableGrid511">
    <w:name w:val="Table Grid5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
    <w:name w:val="Table Grid611"/>
    <w:basedOn w:val="TableNormal"/>
    <w:next w:val="TableGrid"/>
    <w:uiPriority w:val="59"/>
    <w:rsid w:val="00BA42FA"/>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A42FA"/>
  </w:style>
  <w:style w:type="table" w:customStyle="1" w:styleId="TableGrid711">
    <w:name w:val="Table Grid711"/>
    <w:basedOn w:val="TableNormal"/>
    <w:next w:val="TableGrid"/>
    <w:uiPriority w:val="39"/>
    <w:rsid w:val="00BA42FA"/>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
    <w:name w:val="Table Grid621"/>
    <w:basedOn w:val="TableNormal"/>
    <w:next w:val="TableGrid"/>
    <w:uiPriority w:val="59"/>
    <w:rsid w:val="00BA42FA"/>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BA42F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BA42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A42FA"/>
  </w:style>
  <w:style w:type="numbering" w:customStyle="1" w:styleId="NoList6">
    <w:name w:val="No List6"/>
    <w:next w:val="NoList"/>
    <w:uiPriority w:val="99"/>
    <w:semiHidden/>
    <w:unhideWhenUsed/>
    <w:rsid w:val="00BA42FA"/>
  </w:style>
  <w:style w:type="table" w:customStyle="1" w:styleId="TableGrid10">
    <w:name w:val="Table Grid10"/>
    <w:basedOn w:val="TableNormal"/>
    <w:next w:val="TableGrid"/>
    <w:uiPriority w:val="39"/>
    <w:rsid w:val="00BA42F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A42FA"/>
  </w:style>
  <w:style w:type="numbering" w:customStyle="1" w:styleId="NoList221">
    <w:name w:val="No List221"/>
    <w:next w:val="NoList"/>
    <w:uiPriority w:val="99"/>
    <w:semiHidden/>
    <w:unhideWhenUsed/>
    <w:rsid w:val="00BA42FA"/>
  </w:style>
  <w:style w:type="numbering" w:customStyle="1" w:styleId="NoList321">
    <w:name w:val="No List321"/>
    <w:next w:val="NoList"/>
    <w:uiPriority w:val="99"/>
    <w:semiHidden/>
    <w:unhideWhenUsed/>
    <w:rsid w:val="00BA42FA"/>
  </w:style>
  <w:style w:type="numbering" w:customStyle="1" w:styleId="NoList411">
    <w:name w:val="No List411"/>
    <w:next w:val="NoList"/>
    <w:uiPriority w:val="99"/>
    <w:semiHidden/>
    <w:unhideWhenUsed/>
    <w:rsid w:val="00BA42FA"/>
  </w:style>
  <w:style w:type="numbering" w:customStyle="1" w:styleId="NoList3111">
    <w:name w:val="No List3111"/>
    <w:next w:val="NoList"/>
    <w:uiPriority w:val="99"/>
    <w:semiHidden/>
    <w:unhideWhenUsed/>
    <w:rsid w:val="00BA42FA"/>
  </w:style>
  <w:style w:type="table" w:customStyle="1" w:styleId="TableGrid0">
    <w:name w:val="TableGrid"/>
    <w:rsid w:val="00BA42FA"/>
    <w:rPr>
      <w:rFonts w:ascii="Calibri" w:hAnsi="Calibri"/>
      <w:sz w:val="22"/>
      <w:szCs w:val="22"/>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BA42FA"/>
  </w:style>
  <w:style w:type="table" w:customStyle="1" w:styleId="TableGrid12">
    <w:name w:val="Table Grid12"/>
    <w:basedOn w:val="TableNormal"/>
    <w:next w:val="TableGrid"/>
    <w:uiPriority w:val="39"/>
    <w:rsid w:val="004021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
    <w:rsid w:val="00AB6CD9"/>
    <w:rPr>
      <w:rFonts w:ascii="Calibri" w:hAnsi="Calibri"/>
      <w:sz w:val="22"/>
      <w:szCs w:val="22"/>
      <w:lang w:val="vi-VN" w:eastAsia="vi-VN"/>
    </w:rPr>
    <w:tblPr>
      <w:tblCellMar>
        <w:top w:w="0" w:type="dxa"/>
        <w:left w:w="0" w:type="dxa"/>
        <w:bottom w:w="0" w:type="dxa"/>
        <w:right w:w="0" w:type="dxa"/>
      </w:tblCellMar>
    </w:tblPr>
  </w:style>
  <w:style w:type="paragraph" w:styleId="TableofFigures">
    <w:name w:val="table of figures"/>
    <w:basedOn w:val="Normal"/>
    <w:next w:val="Normal"/>
    <w:uiPriority w:val="99"/>
    <w:unhideWhenUsed/>
    <w:qFormat/>
    <w:rsid w:val="000E6072"/>
    <w:pPr>
      <w:ind w:left="560" w:hanging="560"/>
    </w:pPr>
    <w:rPr>
      <w:rFonts w:ascii="Calibri" w:hAnsi="Calibri" w:cs="Calibri"/>
      <w:b/>
      <w:bCs/>
      <w:sz w:val="20"/>
      <w:szCs w:val="20"/>
    </w:rPr>
  </w:style>
  <w:style w:type="character" w:customStyle="1" w:styleId="Chthchbng">
    <w:name w:val="Chú thích bảng_"/>
    <w:link w:val="Chthchbng0"/>
    <w:locked/>
    <w:rsid w:val="00C5484D"/>
    <w:rPr>
      <w:rFonts w:eastAsia="Times New Roman"/>
    </w:rPr>
  </w:style>
  <w:style w:type="paragraph" w:customStyle="1" w:styleId="Chthchbng0">
    <w:name w:val="Chú thích bảng"/>
    <w:basedOn w:val="Normal"/>
    <w:link w:val="Chthchbng"/>
    <w:rsid w:val="00C5484D"/>
    <w:pPr>
      <w:spacing w:line="252" w:lineRule="auto"/>
      <w:ind w:firstLine="190"/>
    </w:pPr>
    <w:rPr>
      <w:rFonts w:eastAsia="Times New Roman"/>
      <w:sz w:val="20"/>
      <w:szCs w:val="20"/>
    </w:rPr>
  </w:style>
  <w:style w:type="numbering" w:customStyle="1" w:styleId="NoList8">
    <w:name w:val="No List8"/>
    <w:next w:val="NoList"/>
    <w:uiPriority w:val="99"/>
    <w:semiHidden/>
    <w:unhideWhenUsed/>
    <w:rsid w:val="002A7761"/>
  </w:style>
  <w:style w:type="paragraph" w:customStyle="1" w:styleId="msonormal0">
    <w:name w:val="msonormal"/>
    <w:basedOn w:val="Normal"/>
    <w:uiPriority w:val="99"/>
    <w:qFormat/>
    <w:rsid w:val="002A7761"/>
    <w:pPr>
      <w:spacing w:before="100" w:beforeAutospacing="1" w:after="100" w:afterAutospacing="1" w:line="240" w:lineRule="auto"/>
    </w:pPr>
    <w:rPr>
      <w:rFonts w:eastAsia="Times New Roman"/>
      <w:sz w:val="24"/>
      <w:szCs w:val="24"/>
    </w:rPr>
  </w:style>
  <w:style w:type="character" w:customStyle="1" w:styleId="TitleChar1">
    <w:name w:val="Title Char1"/>
    <w:aliases w:val="Hình Char1"/>
    <w:rsid w:val="002A7761"/>
    <w:rPr>
      <w:rFonts w:ascii="Calibri Light" w:eastAsia="Times New Roman" w:hAnsi="Calibri Light" w:cs="Times New Roman"/>
      <w:noProof/>
      <w:spacing w:val="-10"/>
      <w:kern w:val="28"/>
      <w:sz w:val="56"/>
      <w:szCs w:val="56"/>
      <w:lang w:val="vi-VN"/>
    </w:rPr>
  </w:style>
  <w:style w:type="table" w:customStyle="1" w:styleId="TableGrid130">
    <w:name w:val="Table Grid13"/>
    <w:basedOn w:val="TableNormal"/>
    <w:next w:val="TableGrid"/>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
    <w:name w:val="Table Grid712"/>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2">
    <w:name w:val="Table Grid5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2">
    <w:name w:val="Table Grid622"/>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7761"/>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2A7761"/>
    <w:pPr>
      <w:autoSpaceDE w:val="0"/>
      <w:autoSpaceDN w:val="0"/>
    </w:pPr>
    <w:rPr>
      <w:rFonts w:ascii=".VnTime" w:hAnsi=".VnTime" w:cs=".VnTi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1">
    <w:name w:val="Table Grid631"/>
    <w:basedOn w:val="TableNormal"/>
    <w:uiPriority w:val="59"/>
    <w:rsid w:val="002A7761"/>
    <w:rPr>
      <w:sz w:val="28"/>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1">
    <w:name w:val="Table Grid731"/>
    <w:basedOn w:val="TableNormal"/>
    <w:uiPriority w:val="39"/>
    <w:rsid w:val="002A7761"/>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39"/>
    <w:rsid w:val="002A7761"/>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1">
    <w:name w:val="Table Grid6111"/>
    <w:basedOn w:val="TableNormal"/>
    <w:uiPriority w:val="59"/>
    <w:rsid w:val="002A7761"/>
    <w:rPr>
      <w:sz w:val="28"/>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1">
    <w:name w:val="Table Grid7111"/>
    <w:basedOn w:val="TableNormal"/>
    <w:uiPriority w:val="39"/>
    <w:rsid w:val="002A7761"/>
    <w:rPr>
      <w:rFonts w:ascii="Calibri" w:hAnsi="Calibri"/>
      <w:sz w:val="22"/>
      <w:szCs w:val="28"/>
      <w:lang w:val="vi-VN"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
    <w:name w:val="Table Grid5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uiPriority w:val="59"/>
    <w:rsid w:val="002A7761"/>
    <w:rPr>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uiPriority w:val="39"/>
    <w:rsid w:val="002A7761"/>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2A7761"/>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2A7761"/>
    <w:rPr>
      <w:rFonts w:ascii="Calibri" w:hAnsi="Calibri"/>
      <w:sz w:val="22"/>
      <w:szCs w:val="22"/>
      <w:lang w:val="vi-VN" w:eastAsia="vi-VN"/>
    </w:rPr>
    <w:tblPr>
      <w:tblCellMar>
        <w:top w:w="0" w:type="dxa"/>
        <w:left w:w="0" w:type="dxa"/>
        <w:bottom w:w="0" w:type="dxa"/>
        <w:right w:w="0" w:type="dxa"/>
      </w:tblCellMar>
    </w:tblPr>
  </w:style>
  <w:style w:type="table" w:customStyle="1" w:styleId="TableGrid121">
    <w:name w:val="Table Grid121"/>
    <w:basedOn w:val="TableNormal"/>
    <w:uiPriority w:val="39"/>
    <w:rsid w:val="002A776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2A7761"/>
    <w:rPr>
      <w:rFonts w:ascii="Calibri" w:hAnsi="Calibri"/>
      <w:sz w:val="22"/>
      <w:szCs w:val="22"/>
      <w:lang w:val="vi-VN" w:eastAsia="vi-VN"/>
    </w:rPr>
    <w:tblPr>
      <w:tblCellMar>
        <w:top w:w="0" w:type="dxa"/>
        <w:left w:w="0" w:type="dxa"/>
        <w:bottom w:w="0" w:type="dxa"/>
        <w:right w:w="0" w:type="dxa"/>
      </w:tblCellMar>
    </w:tblPr>
  </w:style>
  <w:style w:type="numbering" w:customStyle="1" w:styleId="NoList9">
    <w:name w:val="No List9"/>
    <w:next w:val="NoList"/>
    <w:uiPriority w:val="99"/>
    <w:semiHidden/>
    <w:unhideWhenUsed/>
    <w:rsid w:val="00CB6A35"/>
  </w:style>
  <w:style w:type="table" w:customStyle="1" w:styleId="TableGrid15">
    <w:name w:val="Table Grid15"/>
    <w:basedOn w:val="TableNormal"/>
    <w:next w:val="TableGrid"/>
    <w:uiPriority w:val="39"/>
    <w:rsid w:val="00CB6A35"/>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B6A35"/>
  </w:style>
  <w:style w:type="table" w:customStyle="1" w:styleId="TableGrid16">
    <w:name w:val="Table Grid16"/>
    <w:basedOn w:val="TableNormal"/>
    <w:next w:val="TableGrid"/>
    <w:uiPriority w:val="59"/>
    <w:unhideWhenUsed/>
    <w:rsid w:val="00CB6A3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B6A35"/>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B6A35"/>
  </w:style>
  <w:style w:type="table" w:customStyle="1" w:styleId="TableGrid55">
    <w:name w:val="Table Grid5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CB6A35"/>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CB6A35"/>
  </w:style>
  <w:style w:type="table" w:customStyle="1" w:styleId="TableGrid75">
    <w:name w:val="Table Grid75"/>
    <w:basedOn w:val="TableNormal"/>
    <w:next w:val="TableGrid"/>
    <w:uiPriority w:val="39"/>
    <w:rsid w:val="00CB6A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B6A35"/>
  </w:style>
  <w:style w:type="table" w:customStyle="1" w:styleId="TableGrid83">
    <w:name w:val="Table Grid83"/>
    <w:basedOn w:val="TableNormal"/>
    <w:next w:val="TableGrid"/>
    <w:uiPriority w:val="39"/>
    <w:rsid w:val="00CB6A3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6A35"/>
  </w:style>
  <w:style w:type="numbering" w:customStyle="1" w:styleId="NoList212">
    <w:name w:val="No List212"/>
    <w:next w:val="NoList"/>
    <w:uiPriority w:val="99"/>
    <w:semiHidden/>
    <w:unhideWhenUsed/>
    <w:rsid w:val="00CB6A35"/>
  </w:style>
  <w:style w:type="table" w:customStyle="1" w:styleId="TableGrid513">
    <w:name w:val="Table Grid5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CB6A35"/>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CB6A35"/>
  </w:style>
  <w:style w:type="table" w:customStyle="1" w:styleId="TableGrid713">
    <w:name w:val="Table Grid713"/>
    <w:basedOn w:val="TableNormal"/>
    <w:next w:val="TableGrid"/>
    <w:uiPriority w:val="39"/>
    <w:rsid w:val="00CB6A35"/>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3">
    <w:name w:val="Table Grid5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3">
    <w:name w:val="Table Grid623"/>
    <w:basedOn w:val="TableNormal"/>
    <w:next w:val="TableGrid"/>
    <w:uiPriority w:val="59"/>
    <w:rsid w:val="00CB6A35"/>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39"/>
    <w:rsid w:val="00CB6A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72A19"/>
  </w:style>
  <w:style w:type="table" w:customStyle="1" w:styleId="TableGrid17">
    <w:name w:val="Table Grid17"/>
    <w:basedOn w:val="TableNormal"/>
    <w:next w:val="TableGrid"/>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6">
    <w:name w:val="Table Grid76"/>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
    <w:name w:val="Table Grid84"/>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4">
    <w:name w:val="Table Grid614"/>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4">
    <w:name w:val="Table Grid714"/>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4">
    <w:name w:val="Table Grid5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4">
    <w:name w:val="Table Grid624"/>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4">
    <w:name w:val="Table Grid724"/>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72A1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672A19"/>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2">
    <w:name w:val="Table Grid632"/>
    <w:basedOn w:val="TableNormal"/>
    <w:uiPriority w:val="59"/>
    <w:rsid w:val="00672A19"/>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2">
    <w:name w:val="Table Grid732"/>
    <w:basedOn w:val="TableNormal"/>
    <w:uiPriority w:val="39"/>
    <w:rsid w:val="00672A1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39"/>
    <w:rsid w:val="00672A19"/>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672A19"/>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12">
    <w:name w:val="Table Grid7112"/>
    <w:basedOn w:val="TableNormal"/>
    <w:uiPriority w:val="39"/>
    <w:rsid w:val="00672A19"/>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2">
    <w:name w:val="Table Grid5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2">
    <w:name w:val="Table Grid6212"/>
    <w:basedOn w:val="TableNormal"/>
    <w:uiPriority w:val="59"/>
    <w:rsid w:val="00672A19"/>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2">
    <w:name w:val="Table Grid7212"/>
    <w:basedOn w:val="TableNormal"/>
    <w:uiPriority w:val="39"/>
    <w:rsid w:val="00672A1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2">
    <w:name w:val="Table Grid91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672A1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72A19"/>
    <w:rPr>
      <w:rFonts w:ascii="Calibri" w:hAnsi="Calibri"/>
      <w:sz w:val="22"/>
      <w:szCs w:val="22"/>
      <w:lang w:val="vi-VN" w:eastAsia="vi-VN"/>
    </w:rPr>
    <w:tblPr>
      <w:tblCellMar>
        <w:top w:w="0" w:type="dxa"/>
        <w:left w:w="0" w:type="dxa"/>
        <w:bottom w:w="0" w:type="dxa"/>
        <w:right w:w="0" w:type="dxa"/>
      </w:tblCellMar>
    </w:tblPr>
  </w:style>
  <w:style w:type="table" w:customStyle="1" w:styleId="TableGrid122">
    <w:name w:val="Table Grid122"/>
    <w:basedOn w:val="TableNormal"/>
    <w:uiPriority w:val="39"/>
    <w:rsid w:val="00672A1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672A19"/>
    <w:rPr>
      <w:rFonts w:ascii="Calibri" w:hAnsi="Calibri"/>
      <w:sz w:val="22"/>
      <w:szCs w:val="22"/>
      <w:lang w:val="vi-VN" w:eastAsia="vi-VN"/>
    </w:rPr>
    <w:tblPr>
      <w:tblCellMar>
        <w:top w:w="0" w:type="dxa"/>
        <w:left w:w="0" w:type="dxa"/>
        <w:bottom w:w="0" w:type="dxa"/>
        <w:right w:w="0" w:type="dxa"/>
      </w:tblCellMar>
    </w:tblPr>
  </w:style>
  <w:style w:type="numbering" w:customStyle="1" w:styleId="NoList14">
    <w:name w:val="No List14"/>
    <w:next w:val="NoList"/>
    <w:uiPriority w:val="99"/>
    <w:semiHidden/>
    <w:unhideWhenUsed/>
    <w:rsid w:val="00145128"/>
  </w:style>
  <w:style w:type="table" w:customStyle="1" w:styleId="TableGrid19">
    <w:name w:val="Table Grid19"/>
    <w:basedOn w:val="TableNormal"/>
    <w:next w:val="TableGrid"/>
    <w:uiPriority w:val="39"/>
    <w:rsid w:val="001451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5128"/>
  </w:style>
  <w:style w:type="table" w:customStyle="1" w:styleId="TableGrid1100">
    <w:name w:val="Table Grid110"/>
    <w:basedOn w:val="TableNormal"/>
    <w:next w:val="TableGrid"/>
    <w:uiPriority w:val="59"/>
    <w:unhideWhenUsed/>
    <w:rsid w:val="001451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45128"/>
    <w:pPr>
      <w:autoSpaceDE w:val="0"/>
      <w:autoSpaceDN w:val="0"/>
    </w:pPr>
    <w:rPr>
      <w:rFonts w:ascii=".VnTime"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45128"/>
  </w:style>
  <w:style w:type="table" w:customStyle="1" w:styleId="TableGrid57">
    <w:name w:val="Table Grid5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rsid w:val="00145128"/>
    <w:rPr>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145128"/>
  </w:style>
  <w:style w:type="table" w:customStyle="1" w:styleId="TableGrid77">
    <w:name w:val="Table Grid77"/>
    <w:basedOn w:val="TableNormal"/>
    <w:next w:val="TableGrid"/>
    <w:uiPriority w:val="39"/>
    <w:rsid w:val="0014512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145128"/>
  </w:style>
  <w:style w:type="table" w:customStyle="1" w:styleId="TableGrid85">
    <w:name w:val="Table Grid85"/>
    <w:basedOn w:val="TableNormal"/>
    <w:next w:val="TableGrid"/>
    <w:uiPriority w:val="39"/>
    <w:rsid w:val="00145128"/>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5128"/>
  </w:style>
  <w:style w:type="numbering" w:customStyle="1" w:styleId="NoList213">
    <w:name w:val="No List213"/>
    <w:next w:val="NoList"/>
    <w:uiPriority w:val="99"/>
    <w:semiHidden/>
    <w:unhideWhenUsed/>
    <w:rsid w:val="00145128"/>
  </w:style>
  <w:style w:type="table" w:customStyle="1" w:styleId="TableGrid515">
    <w:name w:val="Table Grid5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5">
    <w:name w:val="Table Grid615"/>
    <w:basedOn w:val="TableNormal"/>
    <w:next w:val="TableGrid"/>
    <w:uiPriority w:val="59"/>
    <w:rsid w:val="00145128"/>
    <w:rPr>
      <w:sz w:val="28"/>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145128"/>
  </w:style>
  <w:style w:type="table" w:customStyle="1" w:styleId="TableGrid715">
    <w:name w:val="Table Grid715"/>
    <w:basedOn w:val="TableNormal"/>
    <w:next w:val="TableGrid"/>
    <w:uiPriority w:val="39"/>
    <w:rsid w:val="00145128"/>
    <w:rPr>
      <w:rFonts w:ascii="Calibri" w:hAnsi="Calibri"/>
      <w:sz w:val="22"/>
      <w:szCs w:val="28"/>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5">
    <w:name w:val="Table Grid5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5">
    <w:name w:val="Table Grid625"/>
    <w:basedOn w:val="TableNormal"/>
    <w:next w:val="TableGrid"/>
    <w:uiPriority w:val="59"/>
    <w:rsid w:val="00145128"/>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5">
    <w:name w:val="Table Grid725"/>
    <w:basedOn w:val="TableNormal"/>
    <w:next w:val="TableGrid"/>
    <w:uiPriority w:val="39"/>
    <w:rsid w:val="001451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9"/>
    <w:basedOn w:val="TableNormal"/>
    <w:rsid w:val="003F2532"/>
    <w:pPr>
      <w:spacing w:before="60" w:after="144" w:line="288" w:lineRule="auto"/>
    </w:pPr>
    <w:rPr>
      <w:sz w:val="28"/>
      <w:szCs w:val="28"/>
      <w:lang w:val="vi-VN"/>
    </w:rPr>
    <w:tblPr>
      <w:tblStyleRowBandSize w:val="1"/>
      <w:tblStyleColBandSize w:val="1"/>
      <w:tblCellMar>
        <w:left w:w="0" w:type="dxa"/>
        <w:right w:w="0" w:type="dxa"/>
      </w:tblCellMar>
    </w:tbl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1"/>
    <w:qFormat/>
    <w:locked/>
    <w:rsid w:val="004E0F93"/>
    <w:rPr>
      <w:rFonts w:ascii=".VnTime" w:hAnsi=".VnTime" w:cs=".VnTime"/>
      <w:szCs w:val="28"/>
      <w:lang w:val="en-GB"/>
    </w:rPr>
  </w:style>
  <w:style w:type="numbering" w:customStyle="1" w:styleId="NoList16">
    <w:name w:val="No List16"/>
    <w:next w:val="NoList"/>
    <w:uiPriority w:val="99"/>
    <w:semiHidden/>
    <w:unhideWhenUsed/>
    <w:rsid w:val="005C1E05"/>
  </w:style>
  <w:style w:type="paragraph" w:customStyle="1" w:styleId="Bngbiu">
    <w:name w:val="Bảng biểu"/>
    <w:basedOn w:val="Hnhnh"/>
    <w:link w:val="BngbiuChar"/>
    <w:autoRedefine/>
    <w:qFormat/>
    <w:rsid w:val="005C1E05"/>
    <w:pPr>
      <w:keepNext/>
      <w:keepLines/>
      <w:ind w:firstLine="731"/>
      <w:contextualSpacing/>
    </w:pPr>
    <w:rPr>
      <w:rFonts w:eastAsia="Times New Roman"/>
      <w:b w:val="0"/>
    </w:rPr>
  </w:style>
  <w:style w:type="character" w:customStyle="1" w:styleId="BngbiuChar">
    <w:name w:val="Bảng biểu Char"/>
    <w:link w:val="Bngbiu"/>
    <w:rsid w:val="005C1E05"/>
    <w:rPr>
      <w:rFonts w:eastAsia="Times New Roman"/>
      <w:i/>
      <w:iCs/>
      <w:color w:val="000000"/>
      <w:kern w:val="2"/>
      <w:sz w:val="26"/>
      <w:szCs w:val="28"/>
    </w:rPr>
  </w:style>
  <w:style w:type="paragraph" w:customStyle="1" w:styleId="Hnhnh">
    <w:name w:val="Hình ảnh"/>
    <w:basedOn w:val="Normal"/>
    <w:link w:val="HnhnhChar"/>
    <w:autoRedefine/>
    <w:qFormat/>
    <w:rsid w:val="00B72C7D"/>
    <w:pPr>
      <w:spacing w:before="240" w:after="240" w:line="240" w:lineRule="auto"/>
    </w:pPr>
    <w:rPr>
      <w:b/>
      <w:color w:val="000000"/>
      <w:kern w:val="2"/>
      <w:szCs w:val="28"/>
    </w:rPr>
  </w:style>
  <w:style w:type="character" w:customStyle="1" w:styleId="HnhnhChar">
    <w:name w:val="Hình ảnh Char"/>
    <w:link w:val="Hnhnh"/>
    <w:rsid w:val="00B72C7D"/>
    <w:rPr>
      <w:rFonts w:eastAsiaTheme="minorHAnsi"/>
      <w:b/>
      <w:color w:val="000000"/>
      <w:kern w:val="2"/>
      <w:szCs w:val="28"/>
    </w:rPr>
  </w:style>
  <w:style w:type="paragraph" w:customStyle="1" w:styleId="HNHNH0">
    <w:name w:val="HÌNH ẢNH"/>
    <w:basedOn w:val="Heading2"/>
    <w:link w:val="HNHNHChar0"/>
    <w:autoRedefine/>
    <w:qFormat/>
    <w:rsid w:val="005C1E05"/>
    <w:pPr>
      <w:keepLines/>
      <w:widowControl/>
      <w:spacing w:line="312" w:lineRule="auto"/>
      <w:ind w:left="425" w:firstLine="0"/>
      <w:jc w:val="center"/>
    </w:pPr>
    <w:rPr>
      <w:b w:val="0"/>
      <w:i/>
      <w:iCs w:val="0"/>
      <w:kern w:val="2"/>
    </w:rPr>
  </w:style>
  <w:style w:type="character" w:customStyle="1" w:styleId="HNHNHChar0">
    <w:name w:val="HÌNH ẢNH Char"/>
    <w:link w:val="HNHNH0"/>
    <w:rsid w:val="005C1E05"/>
    <w:rPr>
      <w:rFonts w:eastAsia="Times New Roman"/>
      <w:bCs/>
      <w:i/>
      <w:iCs/>
      <w:color w:val="000000"/>
      <w:kern w:val="2"/>
      <w:sz w:val="26"/>
      <w:szCs w:val="28"/>
    </w:rPr>
  </w:style>
  <w:style w:type="paragraph" w:customStyle="1" w:styleId="BNGBIU0">
    <w:name w:val="BẢNG BIỂU"/>
    <w:basedOn w:val="HNHNH0"/>
    <w:link w:val="BNGBIUChar0"/>
    <w:autoRedefine/>
    <w:qFormat/>
    <w:rsid w:val="005C1E05"/>
    <w:pPr>
      <w:jc w:val="left"/>
    </w:pPr>
  </w:style>
  <w:style w:type="character" w:customStyle="1" w:styleId="BNGBIUChar0">
    <w:name w:val="BẢNG BIỂU Char"/>
    <w:link w:val="BNGBIU0"/>
    <w:rsid w:val="005C1E05"/>
    <w:rPr>
      <w:rFonts w:eastAsia="Times New Roman"/>
      <w:bCs/>
      <w:i/>
      <w:iCs/>
      <w:color w:val="000000"/>
      <w:kern w:val="2"/>
      <w:sz w:val="26"/>
      <w:szCs w:val="28"/>
    </w:rPr>
  </w:style>
  <w:style w:type="table" w:customStyle="1" w:styleId="TableGrid200">
    <w:name w:val="Table Grid20"/>
    <w:basedOn w:val="TableNormal"/>
    <w:next w:val="TableGrid"/>
    <w:uiPriority w:val="39"/>
    <w:rsid w:val="005C1E05"/>
    <w:pPr>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uChiBCL">
    <w:name w:val="TieuChi(ĐBCL)"/>
    <w:basedOn w:val="Normal"/>
    <w:link w:val="TieuChiBCLChar"/>
    <w:qFormat/>
    <w:rsid w:val="00443EC6"/>
    <w:pPr>
      <w:spacing w:before="240" w:after="240"/>
    </w:pPr>
    <w:rPr>
      <w:rFonts w:eastAsia="Times New Roman"/>
      <w:b/>
      <w:i/>
      <w:szCs w:val="26"/>
      <w:lang w:val="vi-VN"/>
    </w:rPr>
  </w:style>
  <w:style w:type="character" w:customStyle="1" w:styleId="TieuChiBCLChar">
    <w:name w:val="TieuChi(ĐBCL) Char"/>
    <w:basedOn w:val="DefaultParagraphFont"/>
    <w:link w:val="TieuChiBCL"/>
    <w:rsid w:val="00443EC6"/>
    <w:rPr>
      <w:rFonts w:eastAsia="Times New Roman"/>
      <w:b/>
      <w:i/>
      <w:sz w:val="26"/>
      <w:szCs w:val="26"/>
      <w:lang w:val="vi-VN"/>
    </w:rPr>
  </w:style>
  <w:style w:type="paragraph" w:customStyle="1" w:styleId="TieuChuanDBCL">
    <w:name w:val="TieuChuan(DBCL)"/>
    <w:basedOn w:val="Normal"/>
    <w:link w:val="TieuChuanDBCLChar"/>
    <w:qFormat/>
    <w:rsid w:val="00B15871"/>
    <w:pPr>
      <w:spacing w:before="240" w:after="240"/>
    </w:pPr>
    <w:rPr>
      <w:rFonts w:eastAsia="Times New Roman"/>
      <w:b/>
      <w:spacing w:val="-6"/>
      <w:szCs w:val="26"/>
      <w:lang w:val="vi-VN"/>
    </w:rPr>
  </w:style>
  <w:style w:type="character" w:customStyle="1" w:styleId="TieuChuanDBCLChar">
    <w:name w:val="TieuChuan(DBCL) Char"/>
    <w:basedOn w:val="DefaultParagraphFont"/>
    <w:link w:val="TieuChuanDBCL"/>
    <w:rsid w:val="00B15871"/>
    <w:rPr>
      <w:rFonts w:eastAsia="Times New Roman"/>
      <w:b/>
      <w:spacing w:val="-6"/>
      <w:sz w:val="26"/>
      <w:szCs w:val="26"/>
      <w:lang w:val="vi-V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unhideWhenUsed/>
    <w:qFormat/>
    <w:rsid w:val="007A7512"/>
    <w:pPr>
      <w:autoSpaceDE w:val="0"/>
      <w:autoSpaceDN w:val="0"/>
      <w:spacing w:line="240" w:lineRule="auto"/>
      <w:ind w:left="262" w:firstLine="573"/>
    </w:pPr>
    <w:rPr>
      <w:rFonts w:eastAsia="Times New Roman"/>
      <w:szCs w:val="26"/>
      <w:lang w:val="vi"/>
    </w:rPr>
  </w:style>
  <w:style w:type="character" w:customStyle="1" w:styleId="BodyTextChar">
    <w:name w:val="Body Text Char"/>
    <w:basedOn w:val="DefaultParagraphFont"/>
    <w:link w:val="BodyText"/>
    <w:uiPriority w:val="1"/>
    <w:rsid w:val="004E0F93"/>
    <w:rPr>
      <w:lang w:val="vi"/>
    </w:rPr>
  </w:style>
  <w:style w:type="character" w:customStyle="1" w:styleId="fontstyle21">
    <w:name w:val="fontstyle21"/>
    <w:basedOn w:val="DefaultParagraphFont"/>
    <w:rsid w:val="007A7512"/>
    <w:rPr>
      <w:rFonts w:ascii="TimesNewRomanPSMT" w:hAnsi="TimesNewRomanPSMT" w:hint="default"/>
      <w:b w:val="0"/>
      <w:bCs w:val="0"/>
      <w:i w:val="0"/>
      <w:iCs w:val="0"/>
      <w:color w:val="000000"/>
      <w:sz w:val="28"/>
      <w:szCs w:val="28"/>
    </w:rPr>
  </w:style>
  <w:style w:type="table" w:customStyle="1" w:styleId="a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6">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9">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a">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b">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c">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d">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e">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0">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1">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2">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3">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4">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f5">
    <w:basedOn w:val="TableNormal"/>
    <w:pPr>
      <w:spacing w:before="60" w:after="144" w:line="288" w:lineRule="auto"/>
    </w:pPr>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HXdG02IwPmA6Id9nUKuTaBDQA==">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Hoang Vu</dc:creator>
  <cp:lastModifiedBy>ADMIN</cp:lastModifiedBy>
  <cp:revision>42</cp:revision>
  <cp:lastPrinted>2024-12-23T07:37:00Z</cp:lastPrinted>
  <dcterms:created xsi:type="dcterms:W3CDTF">2024-12-19T09:20:00Z</dcterms:created>
  <dcterms:modified xsi:type="dcterms:W3CDTF">2024-12-23T08:42:00Z</dcterms:modified>
</cp:coreProperties>
</file>